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9C56" w14:textId="5C9B5915" w:rsidR="00C47D8A" w:rsidRPr="009C389E" w:rsidRDefault="00C47D8A" w:rsidP="007863F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1384"/>
          <w:tab w:val="left" w:pos="2145"/>
          <w:tab w:val="left" w:pos="2906"/>
          <w:tab w:val="left" w:pos="3541"/>
          <w:tab w:val="left" w:pos="4320"/>
        </w:tabs>
        <w:spacing w:after="0" w:line="240" w:lineRule="auto"/>
        <w:jc w:val="center"/>
        <w:rPr>
          <w:rFonts w:ascii="Calibri" w:eastAsia="Arial-BoldMT" w:hAnsi="Calibri" w:cs="Calibri"/>
          <w:b/>
          <w:bCs/>
          <w:color w:val="000000" w:themeColor="text1"/>
          <w:kern w:val="1"/>
        </w:rPr>
      </w:pPr>
      <w:r w:rsidRPr="009C389E">
        <w:rPr>
          <w:rFonts w:ascii="Calibri" w:eastAsia="Arial-BoldMT" w:hAnsi="Calibri" w:cs="Calibri"/>
          <w:b/>
          <w:bCs/>
          <w:color w:val="000000" w:themeColor="text1"/>
          <w:kern w:val="1"/>
        </w:rPr>
        <w:t xml:space="preserve">APPENDIX </w:t>
      </w:r>
      <w:r w:rsidR="000D27EF">
        <w:rPr>
          <w:rFonts w:ascii="Calibri" w:eastAsia="Arial-BoldMT" w:hAnsi="Calibri" w:cs="Calibri"/>
          <w:b/>
          <w:bCs/>
          <w:color w:val="000000" w:themeColor="text1"/>
          <w:kern w:val="1"/>
        </w:rPr>
        <w:t>D</w:t>
      </w:r>
    </w:p>
    <w:p w14:paraId="29C52063" w14:textId="77777777" w:rsidR="009C389E" w:rsidRDefault="009C389E" w:rsidP="007863FB">
      <w:pPr>
        <w:spacing w:after="0" w:line="240" w:lineRule="auto"/>
      </w:pPr>
    </w:p>
    <w:p w14:paraId="0492AAED" w14:textId="5F442736" w:rsidR="009C389E" w:rsidRPr="009C389E" w:rsidRDefault="00A2162F" w:rsidP="007863F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b/>
          <w:bCs/>
        </w:rPr>
        <w:t>Environmental Checklist</w:t>
      </w:r>
    </w:p>
    <w:p w14:paraId="032F4882" w14:textId="28171B95" w:rsidR="009C389E" w:rsidRDefault="009C389E" w:rsidP="007863FB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/>
        </w:rPr>
      </w:pPr>
    </w:p>
    <w:p w14:paraId="2B1C0FD2" w14:textId="2C03850F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Upon </w:t>
      </w:r>
      <w:r w:rsidRPr="001C6801">
        <w:rPr>
          <w:rFonts w:ascii="Calibri" w:hAnsi="Calibri" w:cs="Calibri"/>
          <w:bCs/>
        </w:rPr>
        <w:t>decid</w:t>
      </w:r>
      <w:r>
        <w:rPr>
          <w:rFonts w:ascii="Calibri" w:hAnsi="Calibri" w:cs="Calibri"/>
          <w:bCs/>
        </w:rPr>
        <w:t>ing</w:t>
      </w:r>
      <w:r w:rsidRPr="001C6801">
        <w:rPr>
          <w:rFonts w:ascii="Calibri" w:hAnsi="Calibri" w:cs="Calibri"/>
          <w:bCs/>
        </w:rPr>
        <w:t xml:space="preserve"> to </w:t>
      </w:r>
      <w:proofErr w:type="gramStart"/>
      <w:r w:rsidRPr="001C6801">
        <w:rPr>
          <w:rFonts w:ascii="Calibri" w:hAnsi="Calibri" w:cs="Calibri"/>
          <w:bCs/>
        </w:rPr>
        <w:t>submit an application</w:t>
      </w:r>
      <w:proofErr w:type="gramEnd"/>
      <w:r w:rsidRPr="001C6801">
        <w:rPr>
          <w:rFonts w:ascii="Calibri" w:hAnsi="Calibri" w:cs="Calibri"/>
          <w:bCs/>
        </w:rPr>
        <w:t xml:space="preserve"> for federal f</w:t>
      </w:r>
      <w:r>
        <w:rPr>
          <w:rFonts w:ascii="Calibri" w:hAnsi="Calibri" w:cs="Calibri"/>
          <w:bCs/>
        </w:rPr>
        <w:t>unds</w:t>
      </w:r>
      <w:r w:rsidRPr="001C6801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 xml:space="preserve">applicants </w:t>
      </w:r>
      <w:r w:rsidRPr="001C6801">
        <w:rPr>
          <w:rFonts w:ascii="Calibri" w:hAnsi="Calibri" w:cs="Calibri"/>
          <w:bCs/>
        </w:rPr>
        <w:t xml:space="preserve">must cease all </w:t>
      </w:r>
      <w:r>
        <w:rPr>
          <w:rFonts w:ascii="Calibri" w:hAnsi="Calibri" w:cs="Calibri"/>
          <w:bCs/>
        </w:rPr>
        <w:t xml:space="preserve">project </w:t>
      </w:r>
      <w:r w:rsidRPr="001C6801">
        <w:rPr>
          <w:rFonts w:ascii="Calibri" w:hAnsi="Calibri" w:cs="Calibri"/>
          <w:bCs/>
        </w:rPr>
        <w:t xml:space="preserve">activities, regardless of the source of funds to be used to </w:t>
      </w:r>
      <w:r>
        <w:rPr>
          <w:rFonts w:ascii="Calibri" w:hAnsi="Calibri" w:cs="Calibri"/>
          <w:bCs/>
        </w:rPr>
        <w:t xml:space="preserve">directly </w:t>
      </w:r>
      <w:r w:rsidRPr="001C6801">
        <w:rPr>
          <w:rFonts w:ascii="Calibri" w:hAnsi="Calibri" w:cs="Calibri"/>
          <w:bCs/>
        </w:rPr>
        <w:t>fund the activities, except for activities that are considered “Exempt</w:t>
      </w:r>
      <w:r>
        <w:rPr>
          <w:rFonts w:ascii="Calibri" w:hAnsi="Calibri" w:cs="Calibri"/>
          <w:bCs/>
        </w:rPr>
        <w:t>.</w:t>
      </w:r>
      <w:r w:rsidRPr="001C6801">
        <w:rPr>
          <w:rFonts w:ascii="Calibri" w:hAnsi="Calibri" w:cs="Calibri"/>
          <w:bCs/>
        </w:rPr>
        <w:t xml:space="preserve">” Activities may proceed </w:t>
      </w:r>
      <w:r>
        <w:rPr>
          <w:rFonts w:ascii="Calibri" w:hAnsi="Calibri" w:cs="Calibri"/>
          <w:bCs/>
        </w:rPr>
        <w:t xml:space="preserve">when </w:t>
      </w:r>
      <w:r w:rsidRPr="001C6801">
        <w:rPr>
          <w:rFonts w:ascii="Calibri" w:hAnsi="Calibri" w:cs="Calibri"/>
          <w:bCs/>
        </w:rPr>
        <w:t xml:space="preserve">applicable environmental clearance has been achieved and </w:t>
      </w:r>
      <w:r>
        <w:rPr>
          <w:rFonts w:ascii="Calibri" w:hAnsi="Calibri" w:cs="Calibri"/>
          <w:bCs/>
        </w:rPr>
        <w:t>a written release of funds is received</w:t>
      </w:r>
      <w:r w:rsidRPr="001C6801">
        <w:rPr>
          <w:rFonts w:ascii="Calibri" w:hAnsi="Calibri" w:cs="Calibri"/>
          <w:bCs/>
        </w:rPr>
        <w:t>.</w:t>
      </w:r>
    </w:p>
    <w:p w14:paraId="6E97C74C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4FC5B0E9" w14:textId="33FE7C3D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checklist should be completed at application to </w:t>
      </w:r>
      <w:r w:rsidRPr="001C6801">
        <w:rPr>
          <w:rFonts w:ascii="Calibri" w:hAnsi="Calibri" w:cs="Calibri"/>
          <w:bCs/>
        </w:rPr>
        <w:t xml:space="preserve">determine </w:t>
      </w:r>
      <w:r>
        <w:rPr>
          <w:rFonts w:ascii="Calibri" w:hAnsi="Calibri" w:cs="Calibri"/>
          <w:bCs/>
        </w:rPr>
        <w:t xml:space="preserve">whether </w:t>
      </w:r>
      <w:r w:rsidRPr="001C6801">
        <w:rPr>
          <w:rFonts w:ascii="Calibri" w:hAnsi="Calibri" w:cs="Calibri"/>
          <w:bCs/>
        </w:rPr>
        <w:t xml:space="preserve">there are any potential environmental impacts </w:t>
      </w:r>
      <w:r>
        <w:rPr>
          <w:rFonts w:ascii="Calibri" w:hAnsi="Calibri" w:cs="Calibri"/>
          <w:bCs/>
        </w:rPr>
        <w:t>related to a proposed p</w:t>
      </w:r>
      <w:r w:rsidRPr="001C6801">
        <w:rPr>
          <w:rFonts w:ascii="Calibri" w:hAnsi="Calibri" w:cs="Calibri"/>
          <w:bCs/>
        </w:rPr>
        <w:t>roject.</w:t>
      </w:r>
      <w:r>
        <w:rPr>
          <w:rFonts w:ascii="Calibri" w:hAnsi="Calibri" w:cs="Calibri"/>
          <w:bCs/>
        </w:rPr>
        <w:t xml:space="preserve"> </w:t>
      </w:r>
      <w:r w:rsidRPr="001C6801">
        <w:rPr>
          <w:rFonts w:ascii="Calibri" w:hAnsi="Calibri" w:cs="Calibri"/>
          <w:bCs/>
        </w:rPr>
        <w:t xml:space="preserve">If </w:t>
      </w:r>
      <w:r>
        <w:rPr>
          <w:rFonts w:ascii="Calibri" w:hAnsi="Calibri" w:cs="Calibri"/>
          <w:bCs/>
        </w:rPr>
        <w:t xml:space="preserve">a project is </w:t>
      </w:r>
      <w:r w:rsidRPr="001C6801">
        <w:rPr>
          <w:rFonts w:ascii="Calibri" w:hAnsi="Calibri" w:cs="Calibri"/>
          <w:bCs/>
        </w:rPr>
        <w:t xml:space="preserve">awarded funds, </w:t>
      </w:r>
      <w:r>
        <w:rPr>
          <w:rFonts w:ascii="Calibri" w:hAnsi="Calibri" w:cs="Calibri"/>
          <w:bCs/>
        </w:rPr>
        <w:t>a complete environmental review will be required</w:t>
      </w:r>
      <w:r w:rsidRPr="001C6801">
        <w:rPr>
          <w:rFonts w:ascii="Calibri" w:hAnsi="Calibri" w:cs="Calibri"/>
          <w:bCs/>
        </w:rPr>
        <w:t>.</w:t>
      </w:r>
    </w:p>
    <w:p w14:paraId="4DB9C74D" w14:textId="77777777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rFonts w:ascii="Calibri" w:hAnsi="Calibri" w:cs="Calibri"/>
          <w:bCs/>
        </w:rPr>
      </w:pPr>
    </w:p>
    <w:p w14:paraId="6B1FB1E2" w14:textId="2C2FD174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Applicants must evaluate the potential impact of their project on its location as well as the impact of the location on the project. For example, a proposed housing rehabilitation project may impact certain</w:t>
      </w:r>
      <w:r w:rsidR="006148D9">
        <w:rPr>
          <w:rFonts w:ascii="Calibri" w:hAnsi="Calibri" w:cs="Calibri"/>
          <w:bCs/>
        </w:rPr>
        <w:t xml:space="preserve"> h</w:t>
      </w:r>
      <w:r w:rsidRPr="001C6801">
        <w:rPr>
          <w:rFonts w:ascii="Calibri" w:hAnsi="Calibri" w:cs="Calibri"/>
          <w:bCs/>
        </w:rPr>
        <w:t>istoric structures, or the existence of a floodplain could impact the location of a proposed affordable housing development.</w:t>
      </w:r>
    </w:p>
    <w:p w14:paraId="39F80DEF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7C3B53C6" w14:textId="73D5FA80" w:rsidR="001C6801" w:rsidRPr="001C6801" w:rsidRDefault="006148D9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f</w:t>
      </w:r>
      <w:r w:rsidR="001C6801" w:rsidRPr="001C6801">
        <w:rPr>
          <w:rFonts w:ascii="Calibri" w:hAnsi="Calibri" w:cs="Calibri"/>
          <w:bCs/>
        </w:rPr>
        <w:t>ollowing are descriptions for the five codes listed on the form:</w:t>
      </w:r>
    </w:p>
    <w:p w14:paraId="0B09DDDA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14909EAF" w14:textId="77777777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N - No Impact </w:t>
      </w:r>
      <w:proofErr w:type="gramStart"/>
      <w:r w:rsidRPr="001C6801">
        <w:rPr>
          <w:rFonts w:ascii="Calibri" w:hAnsi="Calibri" w:cs="Calibri"/>
          <w:bCs/>
        </w:rPr>
        <w:t>Anticipated;</w:t>
      </w:r>
      <w:proofErr w:type="gramEnd"/>
    </w:p>
    <w:p w14:paraId="0B2452AE" w14:textId="72F7F2C3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NA - Not </w:t>
      </w:r>
      <w:proofErr w:type="spellStart"/>
      <w:r w:rsidRPr="001C6801">
        <w:rPr>
          <w:rFonts w:ascii="Calibri" w:hAnsi="Calibri" w:cs="Calibri"/>
          <w:bCs/>
        </w:rPr>
        <w:t>Applicible</w:t>
      </w:r>
      <w:proofErr w:type="spellEnd"/>
      <w:r w:rsidRPr="001C6801">
        <w:rPr>
          <w:rFonts w:ascii="Calibri" w:hAnsi="Calibri" w:cs="Calibri"/>
          <w:bCs/>
        </w:rPr>
        <w:t xml:space="preserve"> to This </w:t>
      </w:r>
      <w:proofErr w:type="gramStart"/>
      <w:r w:rsidRPr="001C6801">
        <w:rPr>
          <w:rFonts w:ascii="Calibri" w:hAnsi="Calibri" w:cs="Calibri"/>
          <w:bCs/>
        </w:rPr>
        <w:t>Project;</w:t>
      </w:r>
      <w:proofErr w:type="gramEnd"/>
    </w:p>
    <w:p w14:paraId="0B848C0B" w14:textId="2D292332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B - Potentially Beneficial </w:t>
      </w:r>
      <w:proofErr w:type="gramStart"/>
      <w:r w:rsidRPr="001C6801">
        <w:rPr>
          <w:rFonts w:ascii="Calibri" w:hAnsi="Calibri" w:cs="Calibri"/>
          <w:bCs/>
        </w:rPr>
        <w:t>Impact;</w:t>
      </w:r>
      <w:proofErr w:type="gramEnd"/>
    </w:p>
    <w:p w14:paraId="76FD49A0" w14:textId="1E37EE7D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A - Potential Adverse </w:t>
      </w:r>
      <w:proofErr w:type="gramStart"/>
      <w:r w:rsidRPr="001C6801">
        <w:rPr>
          <w:rFonts w:ascii="Calibri" w:hAnsi="Calibri" w:cs="Calibri"/>
          <w:bCs/>
        </w:rPr>
        <w:t>Impact;</w:t>
      </w:r>
      <w:proofErr w:type="gramEnd"/>
    </w:p>
    <w:p w14:paraId="6DFE71D6" w14:textId="62C4E329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P - Agency Approval or Permits Required; and</w:t>
      </w:r>
    </w:p>
    <w:p w14:paraId="5562228A" w14:textId="364B8D1D" w:rsidR="001C6801" w:rsidRPr="001C6801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M - Mitigation Actions Required.</w:t>
      </w:r>
    </w:p>
    <w:p w14:paraId="30D3F574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4E7C3D81" w14:textId="76B69D09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List the appropriate code(s) in the </w:t>
      </w:r>
      <w:r w:rsidR="006148D9">
        <w:rPr>
          <w:rFonts w:ascii="Calibri" w:hAnsi="Calibri" w:cs="Calibri"/>
          <w:bCs/>
        </w:rPr>
        <w:t>“</w:t>
      </w:r>
      <w:r w:rsidRPr="001C6801">
        <w:rPr>
          <w:rFonts w:ascii="Calibri" w:hAnsi="Calibri" w:cs="Calibri"/>
          <w:bCs/>
        </w:rPr>
        <w:t>key</w:t>
      </w:r>
      <w:r w:rsidR="006148D9">
        <w:rPr>
          <w:rFonts w:ascii="Calibri" w:hAnsi="Calibri" w:cs="Calibri"/>
          <w:bCs/>
        </w:rPr>
        <w:t>”</w:t>
      </w:r>
      <w:r w:rsidRPr="001C6801">
        <w:rPr>
          <w:rFonts w:ascii="Calibri" w:hAnsi="Calibri" w:cs="Calibri"/>
          <w:bCs/>
        </w:rPr>
        <w:t xml:space="preserve"> boxes that most accurately describe the impact.</w:t>
      </w:r>
      <w:r w:rsidR="006148D9">
        <w:rPr>
          <w:rFonts w:ascii="Calibri" w:hAnsi="Calibri" w:cs="Calibri"/>
          <w:bCs/>
        </w:rPr>
        <w:t xml:space="preserve"> </w:t>
      </w:r>
      <w:r w:rsidRPr="001C6801">
        <w:rPr>
          <w:rFonts w:ascii="Calibri" w:hAnsi="Calibri" w:cs="Calibri"/>
          <w:bCs/>
        </w:rPr>
        <w:t>In some cases, it may be appropriate for the applicant to list more than one code for a single item. For example, of a potentially adverse impact has been identified, an agency approval or permit may also be required.</w:t>
      </w:r>
    </w:p>
    <w:p w14:paraId="0F5059F4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1897A22F" w14:textId="0DCFC5CA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 xml:space="preserve">The applicant must describe impacts in the </w:t>
      </w:r>
      <w:r w:rsidR="006148D9">
        <w:rPr>
          <w:rFonts w:ascii="Calibri" w:hAnsi="Calibri" w:cs="Calibri"/>
          <w:bCs/>
        </w:rPr>
        <w:t>“</w:t>
      </w:r>
      <w:r w:rsidRPr="001C6801">
        <w:rPr>
          <w:rFonts w:ascii="Calibri" w:hAnsi="Calibri" w:cs="Calibri"/>
          <w:bCs/>
        </w:rPr>
        <w:t>comments</w:t>
      </w:r>
      <w:r w:rsidR="006148D9">
        <w:rPr>
          <w:rFonts w:ascii="Calibri" w:hAnsi="Calibri" w:cs="Calibri"/>
          <w:bCs/>
        </w:rPr>
        <w:t>”</w:t>
      </w:r>
      <w:r w:rsidRPr="001C6801">
        <w:rPr>
          <w:rFonts w:ascii="Calibri" w:hAnsi="Calibri" w:cs="Calibri"/>
          <w:bCs/>
        </w:rPr>
        <w:t xml:space="preserve"> section on this form. Please identity the sources of information that were consulted to assess the potential impact.</w:t>
      </w:r>
    </w:p>
    <w:p w14:paraId="0C35B5ED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0390F834" w14:textId="5DED541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Sources of information must be included and can include studies, plans, documents or the persons, organizations or agencies contacted.</w:t>
      </w:r>
    </w:p>
    <w:p w14:paraId="6B8E91B8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57792DD6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Where a potential adverse impact is projected, the applicant must provide:</w:t>
      </w:r>
    </w:p>
    <w:p w14:paraId="5EE05D75" w14:textId="77777777" w:rsidR="001C6801" w:rsidRPr="001C6801" w:rsidRDefault="001C6801" w:rsidP="001C6801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1.  a brief description of any reasonable alternatives and a justification of the proposed alternative; and</w:t>
      </w:r>
      <w:r w:rsidRPr="001C6801">
        <w:rPr>
          <w:rFonts w:ascii="Calibri" w:hAnsi="Calibri" w:cs="Calibri"/>
          <w:bCs/>
        </w:rPr>
        <w:tab/>
      </w:r>
    </w:p>
    <w:p w14:paraId="68E032BC" w14:textId="7F520C6F" w:rsidR="00CD6F36" w:rsidRDefault="001C6801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  <w:r w:rsidRPr="001C6801">
        <w:rPr>
          <w:rFonts w:ascii="Calibri" w:hAnsi="Calibri" w:cs="Calibri"/>
          <w:bCs/>
        </w:rPr>
        <w:t>2.  list possible short</w:t>
      </w:r>
      <w:r w:rsidR="006148D9">
        <w:rPr>
          <w:rFonts w:ascii="Calibri" w:hAnsi="Calibri" w:cs="Calibri"/>
          <w:bCs/>
        </w:rPr>
        <w:t>-</w:t>
      </w:r>
      <w:r w:rsidRPr="001C6801">
        <w:rPr>
          <w:rFonts w:ascii="Calibri" w:hAnsi="Calibri" w:cs="Calibri"/>
          <w:bCs/>
        </w:rPr>
        <w:t xml:space="preserve"> and long-term measures to mitigate the potential adverse impact.</w:t>
      </w:r>
    </w:p>
    <w:p w14:paraId="09B3F9BC" w14:textId="58805B11" w:rsidR="006148D9" w:rsidRDefault="006148D9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jc w:val="center"/>
        <w:outlineLvl w:val="0"/>
        <w:rPr>
          <w:rFonts w:ascii="Calibri" w:hAnsi="Calibri" w:cs="Calibri"/>
          <w:bCs/>
        </w:rPr>
      </w:pPr>
    </w:p>
    <w:p w14:paraId="308DCC74" w14:textId="4AE93C8E" w:rsidR="006148D9" w:rsidRDefault="006148D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6148D9" w14:paraId="335748CF" w14:textId="77777777" w:rsidTr="00D736CA">
        <w:tc>
          <w:tcPr>
            <w:tcW w:w="715" w:type="dxa"/>
            <w:shd w:val="clear" w:color="auto" w:fill="A8D08D" w:themeFill="accent6" w:themeFillTint="99"/>
            <w:vAlign w:val="center"/>
          </w:tcPr>
          <w:p w14:paraId="67DEE2A1" w14:textId="73E3F1EC" w:rsidR="006148D9" w:rsidRDefault="006148D9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jc w:val="center"/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K</w:t>
            </w:r>
            <w:r w:rsidR="00D736CA">
              <w:rPr>
                <w:rFonts w:ascii="Calibri" w:hAnsi="Calibri" w:cs="Calibri"/>
                <w:bCs/>
              </w:rPr>
              <w:t>EY</w:t>
            </w:r>
          </w:p>
        </w:tc>
        <w:tc>
          <w:tcPr>
            <w:tcW w:w="8635" w:type="dxa"/>
            <w:shd w:val="clear" w:color="auto" w:fill="A8D08D" w:themeFill="accent6" w:themeFillTint="99"/>
          </w:tcPr>
          <w:p w14:paraId="6CA93B5D" w14:textId="495A344C" w:rsidR="006148D9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PHYSICAL ENVIRONMENT</w:t>
            </w:r>
          </w:p>
        </w:tc>
      </w:tr>
      <w:tr w:rsidR="00D736CA" w14:paraId="3F5EC9AC" w14:textId="77777777" w:rsidTr="006148D9">
        <w:tc>
          <w:tcPr>
            <w:tcW w:w="715" w:type="dxa"/>
            <w:vMerge w:val="restart"/>
          </w:tcPr>
          <w:p w14:paraId="08A85E09" w14:textId="068095F8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3E2C2A47" w14:textId="07D460B6" w:rsidR="00D736CA" w:rsidRPr="0073130B" w:rsidRDefault="00D736CA" w:rsidP="0073130B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1) </w:t>
            </w:r>
            <w:r w:rsidRPr="0073130B">
              <w:rPr>
                <w:rFonts w:ascii="Calibri" w:hAnsi="Calibri" w:cs="Calibri"/>
                <w:b/>
              </w:rPr>
              <w:t>Soil suitability, topographic and/or geologic constraints (e.g., soil slump, steep slopes, subsidence, seismic activity).</w:t>
            </w:r>
          </w:p>
        </w:tc>
      </w:tr>
      <w:tr w:rsidR="00D736CA" w14:paraId="62D40656" w14:textId="77777777" w:rsidTr="00D736CA">
        <w:tc>
          <w:tcPr>
            <w:tcW w:w="715" w:type="dxa"/>
            <w:vMerge/>
          </w:tcPr>
          <w:p w14:paraId="073A0E73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9490F12" w14:textId="331F90CC" w:rsidR="00D736CA" w:rsidRPr="006148D9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Comments and Source</w:t>
            </w:r>
            <w:r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 xml:space="preserve">s </w:t>
            </w:r>
            <w:r>
              <w:rPr>
                <w:rFonts w:ascii="Calibri" w:hAnsi="Calibri" w:cs="Calibri"/>
                <w:bCs/>
              </w:rPr>
              <w:t xml:space="preserve">of </w:t>
            </w:r>
            <w:r>
              <w:rPr>
                <w:rFonts w:ascii="Calibri" w:hAnsi="Calibri" w:cs="Calibri"/>
                <w:bCs/>
              </w:rPr>
              <w:t>Information:</w:t>
            </w:r>
          </w:p>
        </w:tc>
      </w:tr>
      <w:tr w:rsidR="00D736CA" w14:paraId="7E044660" w14:textId="77777777" w:rsidTr="006148D9">
        <w:tc>
          <w:tcPr>
            <w:tcW w:w="715" w:type="dxa"/>
            <w:vMerge w:val="restart"/>
          </w:tcPr>
          <w:p w14:paraId="662B17F3" w14:textId="547E25E5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E42A6C3" w14:textId="798ED731" w:rsidR="00D736CA" w:rsidRPr="0073130B" w:rsidRDefault="00D736CA" w:rsidP="0073130B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2) </w:t>
            </w:r>
            <w:r w:rsidRPr="0073130B">
              <w:rPr>
                <w:rFonts w:ascii="Calibri" w:hAnsi="Calibri" w:cs="Calibri"/>
                <w:b/>
              </w:rPr>
              <w:t>Hazardous facilities (e.g., power lines, hazardous waste sites, acceptable distance from explosive and flammable hazards including chemical/petrochemical storage tanks, underground fuel storage tanks, and related facilities such as natural gas storage facilities and propane storage tanks).</w:t>
            </w:r>
          </w:p>
        </w:tc>
      </w:tr>
      <w:tr w:rsidR="00D736CA" w14:paraId="61C3D222" w14:textId="77777777" w:rsidTr="00D736CA">
        <w:tc>
          <w:tcPr>
            <w:tcW w:w="715" w:type="dxa"/>
            <w:vMerge/>
          </w:tcPr>
          <w:p w14:paraId="0995F7B4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94C5E20" w14:textId="2DFAF186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017F30" w14:paraId="5679F8D8" w14:textId="77777777" w:rsidTr="006148D9">
        <w:tc>
          <w:tcPr>
            <w:tcW w:w="715" w:type="dxa"/>
            <w:vMerge w:val="restart"/>
          </w:tcPr>
          <w:p w14:paraId="22920EF9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8552BB1" w14:textId="77E27207" w:rsidR="00017F30" w:rsidRPr="0073130B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73130B">
              <w:rPr>
                <w:rFonts w:ascii="Calibri" w:hAnsi="Calibri" w:cs="Calibri"/>
                <w:b/>
              </w:rPr>
              <w:t>3) Effects of project on surrounding air quality or any kind of effects of existing air quality on project (e.g., dust, odors, emissions)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017F30" w14:paraId="5095A531" w14:textId="77777777" w:rsidTr="00D736CA">
        <w:tc>
          <w:tcPr>
            <w:tcW w:w="715" w:type="dxa"/>
            <w:vMerge/>
          </w:tcPr>
          <w:p w14:paraId="3B850645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794E6C17" w14:textId="6D411666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017F30" w14:paraId="0BA496D4" w14:textId="77777777" w:rsidTr="006148D9">
        <w:tc>
          <w:tcPr>
            <w:tcW w:w="715" w:type="dxa"/>
            <w:vMerge w:val="restart"/>
          </w:tcPr>
          <w:p w14:paraId="2DA006D4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F32D1B9" w14:textId="453D60DE" w:rsidR="00017F30" w:rsidRPr="0073130B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73130B">
              <w:rPr>
                <w:rFonts w:ascii="Calibri" w:hAnsi="Calibri" w:cs="Calibri"/>
                <w:b/>
              </w:rPr>
              <w:t>4) Groundwater resources and aquifers (e.g., quantity, quality, distribution, depth to groundwater, sole source aquifers)</w:t>
            </w:r>
          </w:p>
        </w:tc>
      </w:tr>
      <w:tr w:rsidR="00017F30" w14:paraId="06E79B0B" w14:textId="77777777" w:rsidTr="00D736CA">
        <w:tc>
          <w:tcPr>
            <w:tcW w:w="715" w:type="dxa"/>
            <w:vMerge/>
          </w:tcPr>
          <w:p w14:paraId="0736C35F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AF1BCDF" w14:textId="63C2CBC6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017F30" w14:paraId="02E31BFF" w14:textId="77777777" w:rsidTr="006148D9">
        <w:tc>
          <w:tcPr>
            <w:tcW w:w="715" w:type="dxa"/>
            <w:vMerge w:val="restart"/>
          </w:tcPr>
          <w:p w14:paraId="3E15FB82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C5E90BA" w14:textId="5EB9F4E5" w:rsidR="00017F30" w:rsidRPr="0073130B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73130B">
              <w:rPr>
                <w:rFonts w:ascii="Calibri" w:hAnsi="Calibri" w:cs="Calibri"/>
                <w:b/>
              </w:rPr>
              <w:t>5) Surface water / water quality, quantity, and distribution (e.g., streams, lakes, storm runoff, irrigation systems, canals)</w:t>
            </w:r>
          </w:p>
        </w:tc>
      </w:tr>
      <w:tr w:rsidR="00017F30" w14:paraId="04E5CA7E" w14:textId="77777777" w:rsidTr="00D736CA">
        <w:tc>
          <w:tcPr>
            <w:tcW w:w="715" w:type="dxa"/>
            <w:vMerge/>
          </w:tcPr>
          <w:p w14:paraId="099D9E12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7EC5CA10" w14:textId="6648C91E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017F30" w14:paraId="61983D39" w14:textId="77777777" w:rsidTr="006148D9">
        <w:tc>
          <w:tcPr>
            <w:tcW w:w="715" w:type="dxa"/>
            <w:vMerge w:val="restart"/>
          </w:tcPr>
          <w:p w14:paraId="18A6F3A2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7DD587B" w14:textId="1EF4E3A3" w:rsidR="00017F30" w:rsidRPr="0073130B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73130B">
              <w:rPr>
                <w:rFonts w:ascii="Calibri" w:hAnsi="Calibri" w:cs="Calibri"/>
                <w:b/>
              </w:rPr>
              <w:t xml:space="preserve">6) Floodplains and floodplain management (identify any floodplains within one mile of the project boundary). </w:t>
            </w:r>
          </w:p>
        </w:tc>
      </w:tr>
      <w:tr w:rsidR="00017F30" w14:paraId="7632992C" w14:textId="77777777" w:rsidTr="00D736CA">
        <w:tc>
          <w:tcPr>
            <w:tcW w:w="715" w:type="dxa"/>
            <w:vMerge/>
          </w:tcPr>
          <w:p w14:paraId="15E3654C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4FB1E1DC" w14:textId="41776521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017F30" w14:paraId="495DF7BB" w14:textId="77777777" w:rsidTr="006148D9">
        <w:tc>
          <w:tcPr>
            <w:tcW w:w="715" w:type="dxa"/>
            <w:vMerge w:val="restart"/>
          </w:tcPr>
          <w:p w14:paraId="3DDDC977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086AB15" w14:textId="33CDB404" w:rsidR="00017F30" w:rsidRPr="00D736CA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736CA">
              <w:rPr>
                <w:rFonts w:ascii="Calibri" w:hAnsi="Calibri" w:cs="Calibri"/>
                <w:b/>
              </w:rPr>
              <w:t xml:space="preserve">7) Wetlands protection (identify any wetlands within one mile of the project boundary). </w:t>
            </w:r>
          </w:p>
        </w:tc>
      </w:tr>
      <w:tr w:rsidR="00017F30" w14:paraId="27517A45" w14:textId="77777777" w:rsidTr="00D736CA">
        <w:tc>
          <w:tcPr>
            <w:tcW w:w="715" w:type="dxa"/>
            <w:vMerge/>
          </w:tcPr>
          <w:p w14:paraId="648B9DCF" w14:textId="77777777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B31FA05" w14:textId="05F750A6" w:rsidR="00017F30" w:rsidRDefault="00017F30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D736CA" w14:paraId="08E3D62B" w14:textId="77777777" w:rsidTr="006148D9">
        <w:tc>
          <w:tcPr>
            <w:tcW w:w="715" w:type="dxa"/>
            <w:vMerge w:val="restart"/>
          </w:tcPr>
          <w:p w14:paraId="5578AD6B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1A1D7E3" w14:textId="757FC216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736CA">
              <w:rPr>
                <w:rFonts w:ascii="Calibri" w:hAnsi="Calibri" w:cs="Calibri"/>
                <w:b/>
              </w:rPr>
              <w:t>8) Agricultural lands, production, and farmland protection (e.g., grazing, forestry, cropland, prime or unique agricultural lands).</w:t>
            </w:r>
          </w:p>
        </w:tc>
      </w:tr>
      <w:tr w:rsidR="00D736CA" w14:paraId="2531FD6F" w14:textId="77777777" w:rsidTr="00D736CA">
        <w:tc>
          <w:tcPr>
            <w:tcW w:w="715" w:type="dxa"/>
            <w:vMerge/>
          </w:tcPr>
          <w:p w14:paraId="0D8251F8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B8F580E" w14:textId="6F4AE2F9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 w:rsidRPr="00D736CA"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D736CA" w14:paraId="29D90C75" w14:textId="77777777" w:rsidTr="006148D9">
        <w:tc>
          <w:tcPr>
            <w:tcW w:w="715" w:type="dxa"/>
            <w:vMerge w:val="restart"/>
          </w:tcPr>
          <w:p w14:paraId="7BA85C4F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4EA4155" w14:textId="4145AE84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9) Vegetation and wildlife species and habitats, including fish (e.g., terrestrial, avian, and aquatic life and habitats).</w:t>
            </w:r>
          </w:p>
        </w:tc>
      </w:tr>
      <w:tr w:rsidR="00D736CA" w14:paraId="4B2B1A60" w14:textId="77777777" w:rsidTr="00D736CA">
        <w:tc>
          <w:tcPr>
            <w:tcW w:w="715" w:type="dxa"/>
            <w:vMerge/>
          </w:tcPr>
          <w:p w14:paraId="5846D3F1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303DBA91" w14:textId="4D26841C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 w:rsidRPr="00D736CA"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D736CA" w14:paraId="449F0C50" w14:textId="77777777" w:rsidTr="006148D9">
        <w:tc>
          <w:tcPr>
            <w:tcW w:w="715" w:type="dxa"/>
            <w:vMerge w:val="restart"/>
          </w:tcPr>
          <w:p w14:paraId="3410635D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73C0C052" w14:textId="711D305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10) Unique, endangered, fragile, or limited environmental resources, including endangered species (e.g., plants, fish, or wildlife). </w:t>
            </w:r>
          </w:p>
        </w:tc>
      </w:tr>
      <w:tr w:rsidR="00D736CA" w14:paraId="18E36A3B" w14:textId="77777777" w:rsidTr="00D736CA">
        <w:tc>
          <w:tcPr>
            <w:tcW w:w="715" w:type="dxa"/>
            <w:vMerge/>
          </w:tcPr>
          <w:p w14:paraId="2EAA9465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610BB31E" w14:textId="62403CAE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 w:rsidRPr="00D736CA"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D736CA" w14:paraId="696F04BD" w14:textId="77777777" w:rsidTr="006148D9">
        <w:tc>
          <w:tcPr>
            <w:tcW w:w="715" w:type="dxa"/>
            <w:vMerge w:val="restart"/>
          </w:tcPr>
          <w:p w14:paraId="0581D9B2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1894027" w14:textId="7A0261C8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11) Unique natural features (e.g., geologic features). </w:t>
            </w:r>
          </w:p>
        </w:tc>
      </w:tr>
      <w:tr w:rsidR="00D736CA" w14:paraId="3FCC901C" w14:textId="77777777" w:rsidTr="00D736CA">
        <w:tc>
          <w:tcPr>
            <w:tcW w:w="715" w:type="dxa"/>
            <w:vMerge/>
          </w:tcPr>
          <w:p w14:paraId="2AE96545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56DEE38E" w14:textId="381E7D4E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 w:rsidRPr="00D736CA"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D736CA" w14:paraId="4E29FA37" w14:textId="77777777" w:rsidTr="006148D9">
        <w:tc>
          <w:tcPr>
            <w:tcW w:w="715" w:type="dxa"/>
            <w:vMerge w:val="restart"/>
          </w:tcPr>
          <w:p w14:paraId="02828929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4D4AE27" w14:textId="136B088C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12) Access to, and quality of, recreational and wilderness activities, public lands and waterways, and public open space. </w:t>
            </w:r>
          </w:p>
        </w:tc>
      </w:tr>
      <w:tr w:rsidR="00D736CA" w14:paraId="28CBDEFB" w14:textId="77777777" w:rsidTr="00D736CA">
        <w:tc>
          <w:tcPr>
            <w:tcW w:w="715" w:type="dxa"/>
            <w:vMerge/>
          </w:tcPr>
          <w:p w14:paraId="0147957E" w14:textId="77777777" w:rsid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E2EFD9" w:themeFill="accent6" w:themeFillTint="33"/>
          </w:tcPr>
          <w:p w14:paraId="323EA850" w14:textId="70EF39AB" w:rsidR="00D736CA" w:rsidRPr="00D736CA" w:rsidRDefault="00D736CA" w:rsidP="006148D9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 w:rsidRPr="00D736CA"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</w:tbl>
    <w:p w14:paraId="4F6587B6" w14:textId="77777777" w:rsidR="006236DC" w:rsidRDefault="00623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D736CA" w14:paraId="2CA66827" w14:textId="77777777" w:rsidTr="006236DC">
        <w:trPr>
          <w:tblHeader/>
        </w:trPr>
        <w:tc>
          <w:tcPr>
            <w:tcW w:w="715" w:type="dxa"/>
            <w:shd w:val="clear" w:color="auto" w:fill="F4B083" w:themeFill="accent2" w:themeFillTint="99"/>
            <w:vAlign w:val="center"/>
          </w:tcPr>
          <w:p w14:paraId="45EF3887" w14:textId="3D381122" w:rsidR="00D736CA" w:rsidRDefault="00D736CA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KEY</w:t>
            </w:r>
          </w:p>
        </w:tc>
        <w:tc>
          <w:tcPr>
            <w:tcW w:w="8635" w:type="dxa"/>
            <w:shd w:val="clear" w:color="auto" w:fill="F4B083" w:themeFill="accent2" w:themeFillTint="99"/>
          </w:tcPr>
          <w:p w14:paraId="05586EFC" w14:textId="08795100" w:rsidR="00D736CA" w:rsidRPr="00D736CA" w:rsidRDefault="00017F30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HUMAN POPULATION</w:t>
            </w:r>
          </w:p>
        </w:tc>
      </w:tr>
      <w:tr w:rsidR="00E32DBF" w14:paraId="09FCD9EA" w14:textId="77777777" w:rsidTr="00C55F2B">
        <w:tc>
          <w:tcPr>
            <w:tcW w:w="715" w:type="dxa"/>
            <w:vMerge w:val="restart"/>
            <w:vAlign w:val="center"/>
          </w:tcPr>
          <w:p w14:paraId="5A4EBD8C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9CA892A" w14:textId="53690695" w:rsidR="00E32DBF" w:rsidRPr="00017F30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017F30">
              <w:rPr>
                <w:rFonts w:ascii="Calibri" w:hAnsi="Calibri" w:cs="Calibri"/>
                <w:b/>
              </w:rPr>
              <w:t>1) Visual quality – coherence, diversity, compatibility of use and scale, aesthetics.</w:t>
            </w:r>
          </w:p>
        </w:tc>
      </w:tr>
      <w:tr w:rsidR="00E32DBF" w14:paraId="3820A1F9" w14:textId="77777777" w:rsidTr="00DC71C9">
        <w:tc>
          <w:tcPr>
            <w:tcW w:w="715" w:type="dxa"/>
            <w:vMerge/>
            <w:vAlign w:val="center"/>
          </w:tcPr>
          <w:p w14:paraId="7538AA4A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19E9C469" w14:textId="28CA8838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28047357" w14:textId="77777777" w:rsidTr="00C55F2B">
        <w:tc>
          <w:tcPr>
            <w:tcW w:w="715" w:type="dxa"/>
            <w:vMerge w:val="restart"/>
            <w:vAlign w:val="center"/>
          </w:tcPr>
          <w:p w14:paraId="7622C13E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E5C5A64" w14:textId="6930DFFE" w:rsidR="00E32DBF" w:rsidRPr="00017F30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017F30">
              <w:rPr>
                <w:rFonts w:ascii="Calibri" w:hAnsi="Calibri" w:cs="Calibri"/>
                <w:b/>
              </w:rPr>
              <w:t>2) Nuisances (e.g., glare, fumes).</w:t>
            </w:r>
          </w:p>
        </w:tc>
      </w:tr>
      <w:tr w:rsidR="00E32DBF" w14:paraId="16BAF0D3" w14:textId="77777777" w:rsidTr="00DC71C9">
        <w:tc>
          <w:tcPr>
            <w:tcW w:w="715" w:type="dxa"/>
            <w:vMerge/>
            <w:vAlign w:val="center"/>
          </w:tcPr>
          <w:p w14:paraId="53376412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0F06E63A" w14:textId="657F08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40093465" w14:textId="77777777" w:rsidTr="00C55F2B">
        <w:tc>
          <w:tcPr>
            <w:tcW w:w="715" w:type="dxa"/>
            <w:vMerge w:val="restart"/>
            <w:vAlign w:val="center"/>
          </w:tcPr>
          <w:p w14:paraId="1FC4CD90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C0ED4DE" w14:textId="085CA941" w:rsidR="00E32DBF" w:rsidRPr="00017F30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017F30">
              <w:rPr>
                <w:rFonts w:ascii="Calibri" w:hAnsi="Calibri" w:cs="Calibri"/>
                <w:b/>
              </w:rPr>
              <w:t xml:space="preserve">3) Noise – suitable separation between noise sensitive areas (such as residential) and major noise sources (aircraft, highways, and railroads). </w:t>
            </w:r>
          </w:p>
        </w:tc>
      </w:tr>
      <w:tr w:rsidR="00E32DBF" w14:paraId="76620F83" w14:textId="77777777" w:rsidTr="00DC71C9">
        <w:tc>
          <w:tcPr>
            <w:tcW w:w="715" w:type="dxa"/>
            <w:vMerge/>
            <w:vAlign w:val="center"/>
          </w:tcPr>
          <w:p w14:paraId="795ECAFA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449DD786" w14:textId="65187408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7D24E0C" w14:textId="77777777" w:rsidTr="00C55F2B">
        <w:tc>
          <w:tcPr>
            <w:tcW w:w="715" w:type="dxa"/>
            <w:vMerge w:val="restart"/>
            <w:vAlign w:val="center"/>
          </w:tcPr>
          <w:p w14:paraId="1BE1619E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306AAF42" w14:textId="5FE5B9F6" w:rsidR="00E32DBF" w:rsidRPr="00017F30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017F30">
              <w:rPr>
                <w:rFonts w:ascii="Calibri" w:hAnsi="Calibri" w:cs="Calibri"/>
                <w:b/>
              </w:rPr>
              <w:t xml:space="preserve">4) Historic properties, cultural and archaeological resources. </w:t>
            </w:r>
          </w:p>
        </w:tc>
      </w:tr>
      <w:tr w:rsidR="00E32DBF" w14:paraId="7DF68811" w14:textId="77777777" w:rsidTr="00DC71C9">
        <w:tc>
          <w:tcPr>
            <w:tcW w:w="715" w:type="dxa"/>
            <w:vMerge/>
            <w:vAlign w:val="center"/>
          </w:tcPr>
          <w:p w14:paraId="00FD5435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1194365F" w14:textId="7D05C0FC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B10003B" w14:textId="77777777" w:rsidTr="00C55F2B">
        <w:tc>
          <w:tcPr>
            <w:tcW w:w="715" w:type="dxa"/>
            <w:vMerge w:val="restart"/>
            <w:vAlign w:val="center"/>
          </w:tcPr>
          <w:p w14:paraId="1D122A2D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CE8D3BE" w14:textId="14D732E6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 xml:space="preserve">5) Changes in demographic (population) characteristics (e.g., quantity, distribution, density). </w:t>
            </w:r>
          </w:p>
        </w:tc>
      </w:tr>
      <w:tr w:rsidR="00E32DBF" w14:paraId="2FDA3089" w14:textId="77777777" w:rsidTr="00DC71C9">
        <w:tc>
          <w:tcPr>
            <w:tcW w:w="715" w:type="dxa"/>
            <w:vMerge/>
            <w:vAlign w:val="center"/>
          </w:tcPr>
          <w:p w14:paraId="1DC2EC70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59F53AB6" w14:textId="502FE52D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5A91FECC" w14:textId="77777777" w:rsidTr="00C55F2B">
        <w:tc>
          <w:tcPr>
            <w:tcW w:w="715" w:type="dxa"/>
            <w:vMerge w:val="restart"/>
            <w:vAlign w:val="center"/>
          </w:tcPr>
          <w:p w14:paraId="4C6B142E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42F20AB8" w14:textId="16A57A16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>6) General housing conditions – quality, quantity, affordability.</w:t>
            </w:r>
          </w:p>
        </w:tc>
      </w:tr>
      <w:tr w:rsidR="00E32DBF" w14:paraId="47D1F585" w14:textId="77777777" w:rsidTr="00DC71C9">
        <w:tc>
          <w:tcPr>
            <w:tcW w:w="715" w:type="dxa"/>
            <w:vMerge/>
            <w:vAlign w:val="center"/>
          </w:tcPr>
          <w:p w14:paraId="23C7C849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425B68D8" w14:textId="7C853032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4294F625" w14:textId="77777777" w:rsidTr="00C55F2B">
        <w:tc>
          <w:tcPr>
            <w:tcW w:w="715" w:type="dxa"/>
            <w:vMerge w:val="restart"/>
            <w:vAlign w:val="center"/>
          </w:tcPr>
          <w:p w14:paraId="667EDB97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BBB1157" w14:textId="0F902299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 xml:space="preserve">7) Displacement or relocation of businesses or residents. </w:t>
            </w:r>
          </w:p>
        </w:tc>
      </w:tr>
      <w:tr w:rsidR="00E32DBF" w14:paraId="0CB278A4" w14:textId="77777777" w:rsidTr="00DC71C9">
        <w:tc>
          <w:tcPr>
            <w:tcW w:w="715" w:type="dxa"/>
            <w:vMerge/>
            <w:vAlign w:val="center"/>
          </w:tcPr>
          <w:p w14:paraId="75519134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553C7DC9" w14:textId="5AE743A9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32C5708E" w14:textId="77777777" w:rsidTr="00C55F2B">
        <w:tc>
          <w:tcPr>
            <w:tcW w:w="715" w:type="dxa"/>
            <w:vMerge w:val="restart"/>
            <w:vAlign w:val="center"/>
          </w:tcPr>
          <w:p w14:paraId="3887CCB3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4CC4BE4D" w14:textId="4758899C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 xml:space="preserve">8) Public health and safety. </w:t>
            </w:r>
          </w:p>
        </w:tc>
      </w:tr>
      <w:tr w:rsidR="00E32DBF" w14:paraId="1C419AC1" w14:textId="77777777" w:rsidTr="00DC71C9">
        <w:tc>
          <w:tcPr>
            <w:tcW w:w="715" w:type="dxa"/>
            <w:vMerge/>
            <w:vAlign w:val="center"/>
          </w:tcPr>
          <w:p w14:paraId="7C0829D4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60399623" w14:textId="2902163F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03211E6" w14:textId="77777777" w:rsidTr="00C55F2B">
        <w:tc>
          <w:tcPr>
            <w:tcW w:w="715" w:type="dxa"/>
            <w:vMerge w:val="restart"/>
            <w:vAlign w:val="center"/>
          </w:tcPr>
          <w:p w14:paraId="04E45169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4613C9D0" w14:textId="7CBBE764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>9) Lead-based paint, asbestos and/or mold.</w:t>
            </w:r>
          </w:p>
        </w:tc>
      </w:tr>
      <w:tr w:rsidR="00E32DBF" w14:paraId="19D5B81E" w14:textId="77777777" w:rsidTr="00DC71C9">
        <w:tc>
          <w:tcPr>
            <w:tcW w:w="715" w:type="dxa"/>
            <w:vMerge/>
            <w:vAlign w:val="center"/>
          </w:tcPr>
          <w:p w14:paraId="5FE1AE2E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6FE40661" w14:textId="505F945A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C0AA738" w14:textId="77777777" w:rsidTr="00C55F2B">
        <w:tc>
          <w:tcPr>
            <w:tcW w:w="715" w:type="dxa"/>
            <w:vMerge w:val="restart"/>
            <w:vAlign w:val="center"/>
          </w:tcPr>
          <w:p w14:paraId="6FF797AB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8825BDB" w14:textId="48C70797" w:rsidR="00E32DBF" w:rsidRPr="00DC71C9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C71C9">
              <w:rPr>
                <w:rFonts w:ascii="Calibri" w:hAnsi="Calibri" w:cs="Calibri"/>
                <w:b/>
              </w:rPr>
              <w:t xml:space="preserve">10) Local employment and income patterns – quantity and distribution of employment, economic impact. </w:t>
            </w:r>
          </w:p>
        </w:tc>
      </w:tr>
      <w:tr w:rsidR="00E32DBF" w14:paraId="2BC00DE6" w14:textId="77777777" w:rsidTr="00DC71C9">
        <w:tc>
          <w:tcPr>
            <w:tcW w:w="715" w:type="dxa"/>
            <w:vMerge/>
            <w:vAlign w:val="center"/>
          </w:tcPr>
          <w:p w14:paraId="4BEB6E68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21F76A91" w14:textId="55C1E5DC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18B7F87" w14:textId="77777777" w:rsidTr="00C55F2B">
        <w:tc>
          <w:tcPr>
            <w:tcW w:w="715" w:type="dxa"/>
            <w:vMerge w:val="restart"/>
            <w:vAlign w:val="center"/>
          </w:tcPr>
          <w:p w14:paraId="56029EA4" w14:textId="77777777" w:rsidR="00E32DBF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3D8CE720" w14:textId="74A1D2D1" w:rsidR="00E32DBF" w:rsidRPr="00D16E37" w:rsidRDefault="00E32DBF" w:rsidP="00D736CA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11) Local and state tax base and revenue. </w:t>
            </w:r>
          </w:p>
        </w:tc>
      </w:tr>
      <w:tr w:rsidR="00E32DBF" w14:paraId="1AB81345" w14:textId="77777777" w:rsidTr="00D16E37">
        <w:tc>
          <w:tcPr>
            <w:tcW w:w="715" w:type="dxa"/>
            <w:vMerge/>
            <w:vAlign w:val="center"/>
          </w:tcPr>
          <w:p w14:paraId="01CF3A8A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06057722" w14:textId="11C71BC6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B9E7F10" w14:textId="77777777" w:rsidTr="00C55F2B">
        <w:tc>
          <w:tcPr>
            <w:tcW w:w="715" w:type="dxa"/>
            <w:vMerge w:val="restart"/>
            <w:vAlign w:val="center"/>
          </w:tcPr>
          <w:p w14:paraId="05FB8A96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E004688" w14:textId="2294B5F1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12) Education facilities – schools, colleges, universities. </w:t>
            </w:r>
          </w:p>
        </w:tc>
      </w:tr>
      <w:tr w:rsidR="00E32DBF" w14:paraId="51CA6FD7" w14:textId="77777777" w:rsidTr="00D16E37">
        <w:tc>
          <w:tcPr>
            <w:tcW w:w="715" w:type="dxa"/>
            <w:vMerge/>
            <w:vAlign w:val="center"/>
          </w:tcPr>
          <w:p w14:paraId="05505610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7602502B" w14:textId="5157F0EE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4459372B" w14:textId="77777777" w:rsidTr="00C55F2B">
        <w:tc>
          <w:tcPr>
            <w:tcW w:w="715" w:type="dxa"/>
            <w:vMerge w:val="restart"/>
            <w:vAlign w:val="center"/>
          </w:tcPr>
          <w:p w14:paraId="6032D5F2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946989B" w14:textId="655700F8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13) Commercial and industrial facilities – production and activity, </w:t>
            </w:r>
            <w:proofErr w:type="gramStart"/>
            <w:r w:rsidRPr="00D16E37">
              <w:rPr>
                <w:rFonts w:ascii="Calibri" w:hAnsi="Calibri" w:cs="Calibri"/>
                <w:b/>
              </w:rPr>
              <w:t>growth</w:t>
            </w:r>
            <w:proofErr w:type="gramEnd"/>
            <w:r w:rsidRPr="00D16E37">
              <w:rPr>
                <w:rFonts w:ascii="Calibri" w:hAnsi="Calibri" w:cs="Calibri"/>
                <w:b/>
              </w:rPr>
              <w:t xml:space="preserve"> or decline. </w:t>
            </w:r>
          </w:p>
        </w:tc>
      </w:tr>
      <w:tr w:rsidR="00E32DBF" w14:paraId="7A6D8AE7" w14:textId="77777777" w:rsidTr="00D16E37">
        <w:tc>
          <w:tcPr>
            <w:tcW w:w="715" w:type="dxa"/>
            <w:vMerge/>
            <w:vAlign w:val="center"/>
          </w:tcPr>
          <w:p w14:paraId="605E0E46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13568D0B" w14:textId="0065F2CC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68F55C0" w14:textId="77777777" w:rsidTr="00C55F2B">
        <w:tc>
          <w:tcPr>
            <w:tcW w:w="715" w:type="dxa"/>
            <w:vMerge w:val="restart"/>
            <w:vAlign w:val="center"/>
          </w:tcPr>
          <w:p w14:paraId="6D61DB5A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E29041B" w14:textId="297536F7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14) Health care – medical services. </w:t>
            </w:r>
          </w:p>
        </w:tc>
      </w:tr>
      <w:tr w:rsidR="00E32DBF" w14:paraId="11938477" w14:textId="77777777" w:rsidTr="00D16E37">
        <w:tc>
          <w:tcPr>
            <w:tcW w:w="715" w:type="dxa"/>
            <w:vMerge/>
            <w:vAlign w:val="center"/>
          </w:tcPr>
          <w:p w14:paraId="553C0C44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7BAF5D19" w14:textId="56D68834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3945685C" w14:textId="77777777" w:rsidTr="00C55F2B">
        <w:tc>
          <w:tcPr>
            <w:tcW w:w="715" w:type="dxa"/>
            <w:vMerge w:val="restart"/>
            <w:vAlign w:val="center"/>
          </w:tcPr>
          <w:p w14:paraId="087EF2B0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931097B" w14:textId="47B0B27F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>15) Social services – governmental services (e.g., demand on).</w:t>
            </w:r>
          </w:p>
        </w:tc>
      </w:tr>
      <w:tr w:rsidR="00E32DBF" w14:paraId="38155EE9" w14:textId="77777777" w:rsidTr="00D16E37">
        <w:tc>
          <w:tcPr>
            <w:tcW w:w="715" w:type="dxa"/>
            <w:vMerge/>
            <w:vAlign w:val="center"/>
          </w:tcPr>
          <w:p w14:paraId="6C67344E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4E4E9776" w14:textId="7970881B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1ED775A3" w14:textId="77777777" w:rsidTr="00C55F2B">
        <w:tc>
          <w:tcPr>
            <w:tcW w:w="715" w:type="dxa"/>
            <w:vMerge w:val="restart"/>
            <w:vAlign w:val="center"/>
          </w:tcPr>
          <w:p w14:paraId="7B988928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5D2B0DB" w14:textId="578941DD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>16) Social structures and mores (standards of social conduct/social conventions).</w:t>
            </w:r>
          </w:p>
        </w:tc>
      </w:tr>
      <w:tr w:rsidR="00E32DBF" w14:paraId="63F1D7B0" w14:textId="77777777" w:rsidTr="00D16E37">
        <w:tc>
          <w:tcPr>
            <w:tcW w:w="715" w:type="dxa"/>
            <w:vMerge/>
            <w:vAlign w:val="center"/>
          </w:tcPr>
          <w:p w14:paraId="1C99FE3F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5ABB712E" w14:textId="7F97EB99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D3D4961" w14:textId="77777777" w:rsidTr="00C55F2B">
        <w:tc>
          <w:tcPr>
            <w:tcW w:w="715" w:type="dxa"/>
            <w:vMerge w:val="restart"/>
            <w:vAlign w:val="center"/>
          </w:tcPr>
          <w:p w14:paraId="286E1E34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3898197" w14:textId="2121A553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17) Land use compatibility (e.g., growth, land use change, development activity, adjacent land uses and potential conflicts). </w:t>
            </w:r>
          </w:p>
        </w:tc>
      </w:tr>
      <w:tr w:rsidR="00E32DBF" w14:paraId="2C34EEDE" w14:textId="77777777" w:rsidTr="00D16E37">
        <w:tc>
          <w:tcPr>
            <w:tcW w:w="715" w:type="dxa"/>
            <w:vMerge/>
            <w:vAlign w:val="center"/>
          </w:tcPr>
          <w:p w14:paraId="4ADB0611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4F84942A" w14:textId="1A46FE04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34463CF2" w14:textId="77777777" w:rsidTr="00C55F2B">
        <w:tc>
          <w:tcPr>
            <w:tcW w:w="715" w:type="dxa"/>
            <w:vMerge w:val="restart"/>
            <w:vAlign w:val="center"/>
          </w:tcPr>
          <w:p w14:paraId="52E070B3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7507286" w14:textId="03FFFFEA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18) Energy resources – consumption and conservation. </w:t>
            </w:r>
          </w:p>
        </w:tc>
      </w:tr>
      <w:tr w:rsidR="00E32DBF" w14:paraId="5B45B82C" w14:textId="77777777" w:rsidTr="00D16E37">
        <w:tc>
          <w:tcPr>
            <w:tcW w:w="715" w:type="dxa"/>
            <w:vMerge/>
            <w:vAlign w:val="center"/>
          </w:tcPr>
          <w:p w14:paraId="32D71CAE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01740739" w14:textId="7A16F194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F9654C8" w14:textId="77777777" w:rsidTr="00C55F2B">
        <w:tc>
          <w:tcPr>
            <w:tcW w:w="715" w:type="dxa"/>
            <w:vMerge w:val="restart"/>
            <w:vAlign w:val="center"/>
          </w:tcPr>
          <w:p w14:paraId="3E808FB4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515C794" w14:textId="33BA5F6D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19) Solid waste management. </w:t>
            </w:r>
          </w:p>
        </w:tc>
      </w:tr>
      <w:tr w:rsidR="00E32DBF" w14:paraId="126AA534" w14:textId="77777777" w:rsidTr="00D16E37">
        <w:tc>
          <w:tcPr>
            <w:tcW w:w="715" w:type="dxa"/>
            <w:vMerge/>
            <w:vAlign w:val="center"/>
          </w:tcPr>
          <w:p w14:paraId="7B920C6B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2CF3720A" w14:textId="3DF2E200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259C31D3" w14:textId="77777777" w:rsidTr="00C55F2B">
        <w:tc>
          <w:tcPr>
            <w:tcW w:w="715" w:type="dxa"/>
            <w:vMerge w:val="restart"/>
            <w:vAlign w:val="center"/>
          </w:tcPr>
          <w:p w14:paraId="2F46030C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BEFB269" w14:textId="571558EA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20) Wastewater treatment – sewage system. </w:t>
            </w:r>
          </w:p>
        </w:tc>
      </w:tr>
      <w:tr w:rsidR="00E32DBF" w14:paraId="36C036CE" w14:textId="77777777" w:rsidTr="00D16E37">
        <w:tc>
          <w:tcPr>
            <w:tcW w:w="715" w:type="dxa"/>
            <w:vMerge/>
            <w:vAlign w:val="center"/>
          </w:tcPr>
          <w:p w14:paraId="0D35EC32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68B3047E" w14:textId="325D9C31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104E6C60" w14:textId="77777777" w:rsidTr="00C55F2B">
        <w:tc>
          <w:tcPr>
            <w:tcW w:w="715" w:type="dxa"/>
            <w:vMerge w:val="restart"/>
            <w:vAlign w:val="center"/>
          </w:tcPr>
          <w:p w14:paraId="6425E521" w14:textId="77777777" w:rsidR="00E32DBF" w:rsidRDefault="00E32DBF" w:rsidP="006236DC">
            <w:pPr>
              <w:keepNext/>
              <w:keepLines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1CD41C4D" w14:textId="27B4FC00" w:rsidR="00E32DBF" w:rsidRPr="00D16E37" w:rsidRDefault="00E32DBF" w:rsidP="006236DC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21) Storm water – surface drainage. </w:t>
            </w:r>
          </w:p>
        </w:tc>
      </w:tr>
      <w:tr w:rsidR="00E32DBF" w14:paraId="0D5E7530" w14:textId="77777777" w:rsidTr="00D16E37">
        <w:tc>
          <w:tcPr>
            <w:tcW w:w="715" w:type="dxa"/>
            <w:vMerge/>
            <w:vAlign w:val="center"/>
          </w:tcPr>
          <w:p w14:paraId="72FA0BB7" w14:textId="77777777" w:rsidR="00E32DBF" w:rsidRDefault="00E32DBF" w:rsidP="006236DC">
            <w:pPr>
              <w:keepNext/>
              <w:keepLines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7DA06563" w14:textId="1F82DFE6" w:rsidR="00E32DBF" w:rsidRDefault="00E32DBF" w:rsidP="006236DC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76AE7D49" w14:textId="77777777" w:rsidTr="00C55F2B">
        <w:tc>
          <w:tcPr>
            <w:tcW w:w="715" w:type="dxa"/>
            <w:vMerge w:val="restart"/>
            <w:vAlign w:val="center"/>
          </w:tcPr>
          <w:p w14:paraId="35CBB0D1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24B1D43" w14:textId="56DFFEF4" w:rsidR="00E32DBF" w:rsidRPr="00D16E37" w:rsidRDefault="00E32DBF" w:rsidP="006236DC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22) Community water supply. </w:t>
            </w:r>
          </w:p>
        </w:tc>
      </w:tr>
      <w:tr w:rsidR="00E32DBF" w14:paraId="71FF97D1" w14:textId="77777777" w:rsidTr="00D16E37">
        <w:tc>
          <w:tcPr>
            <w:tcW w:w="715" w:type="dxa"/>
            <w:vMerge/>
            <w:vAlign w:val="center"/>
          </w:tcPr>
          <w:p w14:paraId="1A3C44D5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152971CE" w14:textId="66A9E786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54E19B8" w14:textId="77777777" w:rsidTr="00C55F2B">
        <w:tc>
          <w:tcPr>
            <w:tcW w:w="715" w:type="dxa"/>
            <w:vMerge w:val="restart"/>
            <w:vAlign w:val="center"/>
          </w:tcPr>
          <w:p w14:paraId="09C843B5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62DA21C3" w14:textId="0BBFCD40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23) Public safety – police. </w:t>
            </w:r>
          </w:p>
        </w:tc>
      </w:tr>
      <w:tr w:rsidR="00E32DBF" w14:paraId="41DD8121" w14:textId="77777777" w:rsidTr="00D16E37">
        <w:tc>
          <w:tcPr>
            <w:tcW w:w="715" w:type="dxa"/>
            <w:vMerge/>
            <w:vAlign w:val="center"/>
          </w:tcPr>
          <w:p w14:paraId="72AB1797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28B4F9BD" w14:textId="00F4BDC5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329390EC" w14:textId="77777777" w:rsidTr="00C55F2B">
        <w:tc>
          <w:tcPr>
            <w:tcW w:w="715" w:type="dxa"/>
            <w:vMerge w:val="restart"/>
            <w:vAlign w:val="center"/>
          </w:tcPr>
          <w:p w14:paraId="51660B81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2D438CA" w14:textId="27621B4C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24) Fire protection – hazards. </w:t>
            </w:r>
          </w:p>
        </w:tc>
      </w:tr>
      <w:tr w:rsidR="00E32DBF" w14:paraId="3C3A678C" w14:textId="77777777" w:rsidTr="00D16E37">
        <w:tc>
          <w:tcPr>
            <w:tcW w:w="715" w:type="dxa"/>
            <w:vMerge/>
            <w:vAlign w:val="center"/>
          </w:tcPr>
          <w:p w14:paraId="73C08A97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3C91B0DA" w14:textId="5BBF9FA8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7AA3DF2D" w14:textId="77777777" w:rsidTr="00C55F2B">
        <w:tc>
          <w:tcPr>
            <w:tcW w:w="715" w:type="dxa"/>
            <w:vMerge w:val="restart"/>
            <w:vAlign w:val="center"/>
          </w:tcPr>
          <w:p w14:paraId="3F832847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5AD0BA1" w14:textId="629D1EF6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25) Emergency medical services. </w:t>
            </w:r>
          </w:p>
        </w:tc>
      </w:tr>
      <w:tr w:rsidR="00E32DBF" w14:paraId="438C2F61" w14:textId="77777777" w:rsidTr="00D16E37">
        <w:tc>
          <w:tcPr>
            <w:tcW w:w="715" w:type="dxa"/>
            <w:vMerge/>
            <w:vAlign w:val="center"/>
          </w:tcPr>
          <w:p w14:paraId="72344C29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5B5AC032" w14:textId="08C36693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0444DEA2" w14:textId="77777777" w:rsidTr="00C55F2B">
        <w:tc>
          <w:tcPr>
            <w:tcW w:w="715" w:type="dxa"/>
            <w:vMerge w:val="restart"/>
            <w:vAlign w:val="center"/>
          </w:tcPr>
          <w:p w14:paraId="747F3AF4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005A983" w14:textId="3D4B5B66" w:rsidR="00E32DBF" w:rsidRPr="00D16E37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D16E37">
              <w:rPr>
                <w:rFonts w:ascii="Calibri" w:hAnsi="Calibri" w:cs="Calibri"/>
                <w:b/>
              </w:rPr>
              <w:t xml:space="preserve">26) Parks, playgrounds, and open space. </w:t>
            </w:r>
          </w:p>
        </w:tc>
      </w:tr>
      <w:tr w:rsidR="00E32DBF" w14:paraId="481C92DD" w14:textId="77777777" w:rsidTr="00D16E37">
        <w:tc>
          <w:tcPr>
            <w:tcW w:w="715" w:type="dxa"/>
            <w:vMerge/>
            <w:vAlign w:val="center"/>
          </w:tcPr>
          <w:p w14:paraId="306CAB48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53F3B967" w14:textId="69B49794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652E0F3F" w14:textId="77777777" w:rsidTr="00C55F2B">
        <w:tc>
          <w:tcPr>
            <w:tcW w:w="715" w:type="dxa"/>
            <w:vMerge w:val="restart"/>
            <w:vAlign w:val="center"/>
          </w:tcPr>
          <w:p w14:paraId="34BF6AA7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2E6B4B21" w14:textId="6B71DBD2" w:rsidR="00E32DBF" w:rsidRP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E32DBF">
              <w:rPr>
                <w:rFonts w:ascii="Calibri" w:hAnsi="Calibri" w:cs="Calibri"/>
                <w:b/>
              </w:rPr>
              <w:t xml:space="preserve">27) Cultural facilities, cultural </w:t>
            </w:r>
            <w:proofErr w:type="gramStart"/>
            <w:r w:rsidRPr="00E32DBF">
              <w:rPr>
                <w:rFonts w:ascii="Calibri" w:hAnsi="Calibri" w:cs="Calibri"/>
                <w:b/>
              </w:rPr>
              <w:t>uniqueness</w:t>
            </w:r>
            <w:proofErr w:type="gramEnd"/>
            <w:r w:rsidRPr="00E32DBF">
              <w:rPr>
                <w:rFonts w:ascii="Calibri" w:hAnsi="Calibri" w:cs="Calibri"/>
                <w:b/>
              </w:rPr>
              <w:t xml:space="preserve"> and diversity. </w:t>
            </w:r>
          </w:p>
        </w:tc>
      </w:tr>
      <w:tr w:rsidR="00E32DBF" w14:paraId="658417DD" w14:textId="77777777" w:rsidTr="00D16E37">
        <w:tc>
          <w:tcPr>
            <w:tcW w:w="715" w:type="dxa"/>
            <w:vMerge/>
            <w:vAlign w:val="center"/>
          </w:tcPr>
          <w:p w14:paraId="7E849A98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402BA5CA" w14:textId="4B63166C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2D057E3C" w14:textId="77777777" w:rsidTr="00C55F2B">
        <w:tc>
          <w:tcPr>
            <w:tcW w:w="715" w:type="dxa"/>
            <w:vMerge w:val="restart"/>
            <w:vAlign w:val="center"/>
          </w:tcPr>
          <w:p w14:paraId="59D10965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43624BDF" w14:textId="2C4364E2" w:rsidR="00E32DBF" w:rsidRP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E32DBF">
              <w:rPr>
                <w:rFonts w:ascii="Calibri" w:hAnsi="Calibri" w:cs="Calibri"/>
                <w:b/>
              </w:rPr>
              <w:t xml:space="preserve">28) Transportation networks and traffic flow conflicts (e.g., rail; auto including local traffic; airport runway clear zones – avoidance of incompatible land use in airport runway clear zones). </w:t>
            </w:r>
          </w:p>
        </w:tc>
      </w:tr>
      <w:tr w:rsidR="00E32DBF" w14:paraId="77B440CB" w14:textId="77777777" w:rsidTr="00D16E37">
        <w:tc>
          <w:tcPr>
            <w:tcW w:w="715" w:type="dxa"/>
            <w:vMerge/>
            <w:vAlign w:val="center"/>
          </w:tcPr>
          <w:p w14:paraId="0183D90A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3A29FBF9" w14:textId="40D1A304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1A0FB17E" w14:textId="77777777" w:rsidTr="00C55F2B">
        <w:tc>
          <w:tcPr>
            <w:tcW w:w="715" w:type="dxa"/>
            <w:vMerge w:val="restart"/>
            <w:vAlign w:val="center"/>
          </w:tcPr>
          <w:p w14:paraId="6DB5310D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5B279F1B" w14:textId="7F55D028" w:rsidR="00E32DBF" w:rsidRP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E32DBF">
              <w:rPr>
                <w:rFonts w:ascii="Calibri" w:hAnsi="Calibri" w:cs="Calibri"/>
                <w:b/>
              </w:rPr>
              <w:t xml:space="preserve">29) Consistency with local ordinances, resolution, or plans (e.g., conformance with local comprehensive plans, zoning, or capital improvement plans). </w:t>
            </w:r>
          </w:p>
        </w:tc>
      </w:tr>
      <w:tr w:rsidR="00E32DBF" w14:paraId="7DFF682D" w14:textId="77777777" w:rsidTr="00D16E37">
        <w:tc>
          <w:tcPr>
            <w:tcW w:w="715" w:type="dxa"/>
            <w:vMerge/>
            <w:vAlign w:val="center"/>
          </w:tcPr>
          <w:p w14:paraId="5B675161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25A9CBE2" w14:textId="1DAEC3BE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  <w:tr w:rsidR="00E32DBF" w14:paraId="739EE1C0" w14:textId="77777777" w:rsidTr="00C55F2B">
        <w:tc>
          <w:tcPr>
            <w:tcW w:w="715" w:type="dxa"/>
            <w:vMerge w:val="restart"/>
            <w:vAlign w:val="center"/>
          </w:tcPr>
          <w:p w14:paraId="2C02FE3C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</w:tcPr>
          <w:p w14:paraId="09E00EA7" w14:textId="1F85FE43" w:rsidR="00E32DBF" w:rsidRP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/>
              </w:rPr>
            </w:pPr>
            <w:r w:rsidRPr="00E32DBF">
              <w:rPr>
                <w:rFonts w:ascii="Calibri" w:hAnsi="Calibri" w:cs="Calibri"/>
                <w:b/>
              </w:rPr>
              <w:t xml:space="preserve">30) Is there a regulatory action on private property rights </w:t>
            </w:r>
            <w:proofErr w:type="gramStart"/>
            <w:r w:rsidRPr="00E32DBF">
              <w:rPr>
                <w:rFonts w:ascii="Calibri" w:hAnsi="Calibri" w:cs="Calibri"/>
                <w:b/>
              </w:rPr>
              <w:t>as a result of</w:t>
            </w:r>
            <w:proofErr w:type="gramEnd"/>
            <w:r w:rsidRPr="00E32DBF">
              <w:rPr>
                <w:rFonts w:ascii="Calibri" w:hAnsi="Calibri" w:cs="Calibri"/>
                <w:b/>
              </w:rPr>
              <w:t xml:space="preserve"> this project? (Consider options that reduce, minimize, or eliminate the regulation of private property rights.)</w:t>
            </w:r>
          </w:p>
        </w:tc>
      </w:tr>
      <w:tr w:rsidR="00E32DBF" w14:paraId="2566CE00" w14:textId="77777777" w:rsidTr="00D16E37">
        <w:tc>
          <w:tcPr>
            <w:tcW w:w="715" w:type="dxa"/>
            <w:vMerge/>
            <w:vAlign w:val="center"/>
          </w:tcPr>
          <w:p w14:paraId="3086B3D2" w14:textId="7777777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</w:p>
        </w:tc>
        <w:tc>
          <w:tcPr>
            <w:tcW w:w="8635" w:type="dxa"/>
            <w:shd w:val="clear" w:color="auto" w:fill="FBE4D5" w:themeFill="accent2" w:themeFillTint="33"/>
          </w:tcPr>
          <w:p w14:paraId="3AAD4CC4" w14:textId="12AC7AA7" w:rsidR="00E32DBF" w:rsidRDefault="00E32DBF" w:rsidP="00D16E37">
            <w:pPr>
              <w:keepNext/>
              <w:tabs>
                <w:tab w:val="center" w:pos="468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outlineLvl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Comments and Source/s of Information: </w:t>
            </w:r>
          </w:p>
        </w:tc>
      </w:tr>
    </w:tbl>
    <w:p w14:paraId="41AFF6F4" w14:textId="77777777" w:rsidR="00DC71C9" w:rsidRDefault="00DC71C9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noProof/>
        </w:rPr>
      </w:pPr>
    </w:p>
    <w:p w14:paraId="58585FA4" w14:textId="77777777" w:rsidR="00D16E37" w:rsidRDefault="00D16E37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noProof/>
        </w:rPr>
      </w:pPr>
    </w:p>
    <w:p w14:paraId="2C052A30" w14:textId="73F9A4D2" w:rsidR="0073130B" w:rsidRDefault="0073130B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noProof/>
        </w:rPr>
      </w:pPr>
    </w:p>
    <w:p w14:paraId="70C4F930" w14:textId="4F9FBC93" w:rsidR="006148D9" w:rsidRDefault="006148D9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rFonts w:ascii="Calibri" w:hAnsi="Calibri" w:cs="Calibri"/>
          <w:bCs/>
        </w:rPr>
      </w:pPr>
    </w:p>
    <w:p w14:paraId="195634CC" w14:textId="77777777" w:rsidR="006148D9" w:rsidRPr="006148D9" w:rsidRDefault="006148D9" w:rsidP="006148D9">
      <w:pPr>
        <w:keepNext/>
        <w:tabs>
          <w:tab w:val="center" w:pos="468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spacing w:after="0" w:line="240" w:lineRule="auto"/>
        <w:outlineLvl w:val="0"/>
        <w:rPr>
          <w:rFonts w:ascii="Calibri" w:hAnsi="Calibri" w:cs="Calibri"/>
          <w:bCs/>
        </w:rPr>
      </w:pPr>
    </w:p>
    <w:sectPr w:rsidR="006148D9" w:rsidRPr="006148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736AB" w14:textId="77777777" w:rsidR="00CD6F36" w:rsidRDefault="00CD6F36" w:rsidP="00CD6F36">
      <w:pPr>
        <w:spacing w:after="0" w:line="240" w:lineRule="auto"/>
      </w:pPr>
      <w:r>
        <w:separator/>
      </w:r>
    </w:p>
  </w:endnote>
  <w:endnote w:type="continuationSeparator" w:id="0">
    <w:p w14:paraId="712164E0" w14:textId="77777777" w:rsidR="00CD6F36" w:rsidRDefault="00CD6F36" w:rsidP="00CD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F5EA5" w14:textId="6A05F439" w:rsidR="00CD6F36" w:rsidRPr="00C72AED" w:rsidRDefault="00CD6F36" w:rsidP="00F9197C">
    <w:pPr>
      <w:pStyle w:val="Footer"/>
      <w:pBdr>
        <w:top w:val="single" w:sz="8" w:space="1" w:color="auto"/>
      </w:pBdr>
      <w:tabs>
        <w:tab w:val="center" w:pos="5040"/>
        <w:tab w:val="right" w:pos="10170"/>
      </w:tabs>
      <w:jc w:val="right"/>
      <w:rPr>
        <w:rFonts w:ascii="Calibri" w:hAnsi="Calibri" w:cs="Arial"/>
        <w:sz w:val="18"/>
        <w:szCs w:val="18"/>
      </w:rPr>
    </w:pPr>
    <w:r w:rsidRPr="00C72AED">
      <w:rPr>
        <w:rFonts w:ascii="Calibri" w:hAnsi="Calibri" w:cs="Arial"/>
        <w:sz w:val="18"/>
        <w:szCs w:val="18"/>
      </w:rPr>
      <w:t xml:space="preserve">Montana Department of Commerce </w:t>
    </w:r>
    <w:r w:rsidRPr="00C72AED"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fldChar w:fldCharType="begin"/>
    </w:r>
    <w:r w:rsidRPr="00C72AED">
      <w:rPr>
        <w:rFonts w:ascii="Calibri" w:hAnsi="Calibri" w:cs="Arial"/>
        <w:sz w:val="18"/>
        <w:szCs w:val="18"/>
      </w:rPr>
      <w:instrText xml:space="preserve"> PAGE   \* MERGEFORMAT </w:instrText>
    </w:r>
    <w:r w:rsidRPr="00C72AED">
      <w:rPr>
        <w:rFonts w:ascii="Calibri" w:hAnsi="Calibri" w:cs="Arial"/>
        <w:sz w:val="18"/>
        <w:szCs w:val="18"/>
      </w:rPr>
      <w:fldChar w:fldCharType="separate"/>
    </w:r>
    <w:r>
      <w:rPr>
        <w:rFonts w:ascii="Calibri" w:hAnsi="Calibri" w:cs="Arial"/>
        <w:sz w:val="18"/>
        <w:szCs w:val="18"/>
      </w:rPr>
      <w:t>1</w:t>
    </w:r>
    <w:r w:rsidRPr="00C72AED">
      <w:rPr>
        <w:rFonts w:ascii="Calibri" w:hAnsi="Calibri" w:cs="Arial"/>
        <w:sz w:val="18"/>
        <w:szCs w:val="18"/>
      </w:rPr>
      <w:fldChar w:fldCharType="end"/>
    </w:r>
    <w:r w:rsidRPr="00C72AED">
      <w:rPr>
        <w:rFonts w:ascii="Calibri" w:hAnsi="Calibri" w:cs="Arial"/>
        <w:sz w:val="18"/>
        <w:szCs w:val="18"/>
      </w:rPr>
      <w:t xml:space="preserve">  </w:t>
    </w:r>
    <w:r w:rsidRPr="00C72AED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 w:rsidRPr="00C72AED">
      <w:rPr>
        <w:rFonts w:ascii="Calibri" w:hAnsi="Calibri" w:cs="Arial"/>
        <w:sz w:val="18"/>
        <w:szCs w:val="18"/>
      </w:rPr>
      <w:t xml:space="preserve"> Community Development Block Grant</w:t>
    </w:r>
  </w:p>
  <w:p w14:paraId="29B364D3" w14:textId="6DC35D09" w:rsidR="00CD6F36" w:rsidRPr="00F9197C" w:rsidRDefault="00F9197C" w:rsidP="00F9197C">
    <w:pPr>
      <w:pStyle w:val="Footer"/>
      <w:tabs>
        <w:tab w:val="right" w:pos="10170"/>
      </w:tabs>
      <w:jc w:val="right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August </w:t>
    </w:r>
    <w:r w:rsidR="00CD6F36">
      <w:rPr>
        <w:rFonts w:ascii="Calibri" w:hAnsi="Calibri" w:cs="Arial"/>
        <w:sz w:val="18"/>
        <w:szCs w:val="18"/>
      </w:rPr>
      <w:t>202</w:t>
    </w:r>
    <w:r>
      <w:rPr>
        <w:rFonts w:ascii="Calibri" w:hAnsi="Calibri" w:cs="Arial"/>
        <w:sz w:val="18"/>
        <w:szCs w:val="18"/>
      </w:rPr>
      <w:t>1</w:t>
    </w:r>
    <w:r w:rsidR="00CD6F36" w:rsidRPr="00C72AED">
      <w:rPr>
        <w:rFonts w:ascii="Calibri" w:hAnsi="Calibri" w:cs="Arial"/>
        <w:sz w:val="18"/>
        <w:szCs w:val="18"/>
      </w:rPr>
      <w:tab/>
    </w:r>
    <w:r w:rsidR="00CD6F36" w:rsidRPr="00C72AED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 xml:space="preserve">CARES Application - Appendix </w:t>
    </w:r>
    <w:r w:rsidR="000D27EF">
      <w:rPr>
        <w:rFonts w:ascii="Calibri" w:hAnsi="Calibri" w:cs="Arial"/>
        <w:sz w:val="18"/>
        <w:szCs w:val="18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1901" w14:textId="77777777" w:rsidR="00CD6F36" w:rsidRDefault="00CD6F36" w:rsidP="00CD6F36">
      <w:pPr>
        <w:spacing w:after="0" w:line="240" w:lineRule="auto"/>
      </w:pPr>
      <w:r>
        <w:separator/>
      </w:r>
    </w:p>
  </w:footnote>
  <w:footnote w:type="continuationSeparator" w:id="0">
    <w:p w14:paraId="65BD865A" w14:textId="77777777" w:rsidR="00CD6F36" w:rsidRDefault="00CD6F36" w:rsidP="00CD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6B8"/>
    <w:multiLevelType w:val="hybridMultilevel"/>
    <w:tmpl w:val="C55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47434"/>
    <w:multiLevelType w:val="hybridMultilevel"/>
    <w:tmpl w:val="263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AF"/>
    <w:rsid w:val="00017F30"/>
    <w:rsid w:val="000D27EF"/>
    <w:rsid w:val="001135E2"/>
    <w:rsid w:val="001B2802"/>
    <w:rsid w:val="001C6801"/>
    <w:rsid w:val="00301EA1"/>
    <w:rsid w:val="00384FFB"/>
    <w:rsid w:val="004B6732"/>
    <w:rsid w:val="005B4D1A"/>
    <w:rsid w:val="005F242D"/>
    <w:rsid w:val="006148D9"/>
    <w:rsid w:val="006236DC"/>
    <w:rsid w:val="00632CAD"/>
    <w:rsid w:val="00646ADC"/>
    <w:rsid w:val="0073130B"/>
    <w:rsid w:val="00771DA9"/>
    <w:rsid w:val="007863FB"/>
    <w:rsid w:val="00837CAF"/>
    <w:rsid w:val="00946D01"/>
    <w:rsid w:val="009C389E"/>
    <w:rsid w:val="00A2162F"/>
    <w:rsid w:val="00B90116"/>
    <w:rsid w:val="00C303FC"/>
    <w:rsid w:val="00C476AB"/>
    <w:rsid w:val="00C47D8A"/>
    <w:rsid w:val="00CD6F36"/>
    <w:rsid w:val="00D16E37"/>
    <w:rsid w:val="00D715DB"/>
    <w:rsid w:val="00D736CA"/>
    <w:rsid w:val="00DC71C9"/>
    <w:rsid w:val="00DE3C92"/>
    <w:rsid w:val="00E32DBF"/>
    <w:rsid w:val="00E64DE5"/>
    <w:rsid w:val="00ED3C57"/>
    <w:rsid w:val="00F9197C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7676"/>
  <w15:chartTrackingRefBased/>
  <w15:docId w15:val="{52BC913B-7435-4772-AC15-D309CC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F36"/>
  </w:style>
  <w:style w:type="paragraph" w:styleId="Footer">
    <w:name w:val="footer"/>
    <w:basedOn w:val="Normal"/>
    <w:link w:val="FooterChar"/>
    <w:unhideWhenUsed/>
    <w:rsid w:val="00CD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6F36"/>
  </w:style>
  <w:style w:type="table" w:styleId="TableGrid">
    <w:name w:val="Table Grid"/>
    <w:basedOn w:val="TableNormal"/>
    <w:uiPriority w:val="39"/>
    <w:rsid w:val="0061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CARES Application - Appendix D</vt:lpstr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CARES Application - Appendix D</dc:title>
  <dc:subject/>
  <dc:creator>Crowl, Taylor</dc:creator>
  <cp:keywords>CDBG CARES CV Application COVID-19</cp:keywords>
  <dc:description/>
  <cp:lastModifiedBy>Egli, Janelle</cp:lastModifiedBy>
  <cp:revision>20</cp:revision>
  <dcterms:created xsi:type="dcterms:W3CDTF">2020-03-29T18:32:00Z</dcterms:created>
  <dcterms:modified xsi:type="dcterms:W3CDTF">2021-08-05T00:58:00Z</dcterms:modified>
</cp:coreProperties>
</file>