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76923A75" w:rsidR="00090464" w:rsidRPr="00511E95" w:rsidRDefault="00090464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HOME/HTF</w:t>
      </w:r>
      <w:r w:rsidR="0020362F" w:rsidRPr="0020362F">
        <w:t xml:space="preserve"> </w:t>
      </w:r>
      <w:r w:rsidR="0020362F" w:rsidRPr="0020362F">
        <w:rPr>
          <w:rFonts w:cs="Arial"/>
          <w:b/>
          <w:sz w:val="28"/>
          <w:szCs w:val="28"/>
        </w:rPr>
        <w:t>Affordable Housing Development Grant Administration Manual</w:t>
      </w:r>
      <w:r w:rsidR="0020362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6328477B" w:rsidR="004955D2" w:rsidRPr="00090464" w:rsidRDefault="00090464" w:rsidP="00090464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Part 58 Environmental Review Process</w:t>
      </w:r>
      <w:r w:rsidR="00CC0E2A">
        <w:rPr>
          <w:rFonts w:cs="Arial"/>
          <w:b/>
          <w:color w:val="6E9699"/>
          <w:sz w:val="32"/>
          <w:szCs w:val="32"/>
        </w:rPr>
        <w:t xml:space="preserve"> and Resources</w:t>
      </w:r>
      <w:r w:rsidR="0020362F">
        <w:rPr>
          <w:rFonts w:cs="Arial"/>
          <w:b/>
          <w:color w:val="6E9699"/>
          <w:sz w:val="32"/>
          <w:szCs w:val="32"/>
        </w:rPr>
        <w:t xml:space="preserve"> (HOME)</w:t>
      </w:r>
    </w:p>
    <w:p w14:paraId="047662E0" w14:textId="19FC42F3" w:rsidR="00C0521B" w:rsidRDefault="00C0521B" w:rsidP="006F2F31"/>
    <w:p w14:paraId="6152F530" w14:textId="77777777" w:rsidR="00B548EA" w:rsidRDefault="00F044B5" w:rsidP="006F2F31">
      <w:r>
        <w:t>This resource presents the environmental findings (A, B, C, D, or E)</w:t>
      </w:r>
      <w:r w:rsidR="009079A4">
        <w:t xml:space="preserve"> possible under the HOME Program and provides information on the level of environmental review required</w:t>
      </w:r>
      <w:r w:rsidR="009C5E5D">
        <w:t>,</w:t>
      </w:r>
      <w:r w:rsidR="009079A4">
        <w:t xml:space="preserve"> </w:t>
      </w:r>
      <w:r w:rsidR="00614834">
        <w:t>a</w:t>
      </w:r>
      <w:r w:rsidR="009C5E5D">
        <w:t>s</w:t>
      </w:r>
      <w:r w:rsidR="00614834">
        <w:t xml:space="preserve"> </w:t>
      </w:r>
      <w:r w:rsidR="009C5E5D">
        <w:t xml:space="preserve">well as </w:t>
      </w:r>
      <w:r w:rsidR="00614834">
        <w:t>the documentation needed</w:t>
      </w:r>
      <w:r w:rsidR="009C5E5D">
        <w:t>,</w:t>
      </w:r>
      <w:r w:rsidR="00614834">
        <w:t xml:space="preserve"> </w:t>
      </w:r>
      <w:r w:rsidR="009079A4">
        <w:t>for each finding.</w:t>
      </w:r>
      <w:r w:rsidR="009C5E5D">
        <w:t xml:space="preserve"> </w:t>
      </w:r>
    </w:p>
    <w:p w14:paraId="62A55EB2" w14:textId="77777777" w:rsidR="00B548EA" w:rsidRDefault="00B548EA" w:rsidP="006F2F31"/>
    <w:p w14:paraId="3B6428EB" w14:textId="11DFA4B6" w:rsidR="009C5E5D" w:rsidRDefault="009C5E5D" w:rsidP="006F2F31">
      <w:r>
        <w:t xml:space="preserve">NOTE: Before determining an appropriate environmental finding based on specific project activities, grantees must designate an environmental certifying official </w:t>
      </w:r>
      <w:r w:rsidR="00B93762">
        <w:t xml:space="preserve">or “ECO” </w:t>
      </w:r>
      <w:r>
        <w:t xml:space="preserve">and </w:t>
      </w:r>
      <w:r w:rsidR="00C11B92">
        <w:t xml:space="preserve">set up the </w:t>
      </w:r>
      <w:r>
        <w:t>environmental review record or “ERR” (</w:t>
      </w:r>
      <w:r w:rsidR="00C11B92">
        <w:t xml:space="preserve">24 CFR </w:t>
      </w:r>
      <w:r w:rsidRPr="00D75E7C">
        <w:t>§</w:t>
      </w:r>
      <w:r>
        <w:t xml:space="preserve"> 58.38)</w:t>
      </w:r>
      <w:r w:rsidR="00095B66">
        <w:t>.</w:t>
      </w:r>
      <w:r w:rsidR="008A0981">
        <w:rPr>
          <w:rStyle w:val="FootnoteReference"/>
        </w:rPr>
        <w:footnoteReference w:id="1"/>
      </w:r>
      <w:r w:rsidR="00413081">
        <w:t xml:space="preserve"> </w:t>
      </w:r>
    </w:p>
    <w:p w14:paraId="4BBE8367" w14:textId="77777777" w:rsidR="0020362F" w:rsidRDefault="0020362F" w:rsidP="0020362F">
      <w:pPr>
        <w:pBdr>
          <w:bottom w:val="single" w:sz="4" w:space="1" w:color="auto"/>
        </w:pBdr>
      </w:pPr>
    </w:p>
    <w:p w14:paraId="6568475F" w14:textId="77777777" w:rsidR="00154318" w:rsidRDefault="00154318" w:rsidP="006F2F31"/>
    <w:tbl>
      <w:tblPr>
        <w:tblStyle w:val="TableGrid"/>
        <w:tblW w:w="5000" w:type="pct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9"/>
        <w:gridCol w:w="7751"/>
      </w:tblGrid>
      <w:tr w:rsidR="00495735" w14:paraId="767C8597" w14:textId="77777777" w:rsidTr="007D4F7E">
        <w:tc>
          <w:tcPr>
            <w:tcW w:w="855" w:type="pct"/>
            <w:shd w:val="clear" w:color="auto" w:fill="C5D4D5"/>
          </w:tcPr>
          <w:p w14:paraId="54AA3E20" w14:textId="1A500A5A" w:rsidR="00D87883" w:rsidRPr="006F742A" w:rsidRDefault="00495735" w:rsidP="00873FFB">
            <w:pPr>
              <w:rPr>
                <w:b/>
              </w:rPr>
            </w:pPr>
            <w:r w:rsidRPr="006F742A">
              <w:rPr>
                <w:b/>
              </w:rPr>
              <w:t>Finding A</w:t>
            </w:r>
          </w:p>
          <w:p w14:paraId="665249D7" w14:textId="77777777" w:rsidR="006E073C" w:rsidRDefault="006E073C" w:rsidP="00873FFB">
            <w:r w:rsidRPr="006E073C">
              <w:t xml:space="preserve">24 CFR </w:t>
            </w:r>
          </w:p>
          <w:p w14:paraId="5B6CF994" w14:textId="5CF2B68E" w:rsidR="006F742A" w:rsidRPr="006E073C" w:rsidRDefault="006E073C" w:rsidP="00873FFB">
            <w:r w:rsidRPr="006E073C">
              <w:t>§ 58.34</w:t>
            </w:r>
          </w:p>
          <w:p w14:paraId="2E828A04" w14:textId="77777777" w:rsidR="006F742A" w:rsidRDefault="006F742A" w:rsidP="00873FFB"/>
          <w:p w14:paraId="78B345E6" w14:textId="6101E10B" w:rsidR="00D9442D" w:rsidRPr="00D01682" w:rsidRDefault="004E785D" w:rsidP="00873FFB">
            <w:pPr>
              <w:rPr>
                <w:i/>
              </w:rPr>
            </w:pPr>
            <w:r w:rsidRPr="00D01682">
              <w:rPr>
                <w:i/>
              </w:rPr>
              <w:t xml:space="preserve">EX: </w:t>
            </w:r>
            <w:r w:rsidR="00D9442D" w:rsidRPr="00D01682">
              <w:rPr>
                <w:i/>
              </w:rPr>
              <w:t>Admin</w:t>
            </w:r>
            <w:r w:rsidR="00927C7F">
              <w:rPr>
                <w:i/>
              </w:rPr>
              <w:t>istration</w:t>
            </w:r>
            <w:r w:rsidRPr="00D01682">
              <w:rPr>
                <w:i/>
              </w:rPr>
              <w:t>,</w:t>
            </w:r>
          </w:p>
          <w:p w14:paraId="4060F125" w14:textId="5DADEBCE" w:rsidR="00D9442D" w:rsidRPr="00D01682" w:rsidRDefault="00D9442D" w:rsidP="00873FFB">
            <w:pPr>
              <w:rPr>
                <w:i/>
              </w:rPr>
            </w:pPr>
            <w:r w:rsidRPr="00D01682">
              <w:rPr>
                <w:i/>
              </w:rPr>
              <w:t>Env</w:t>
            </w:r>
            <w:r w:rsidR="00927C7F">
              <w:rPr>
                <w:i/>
              </w:rPr>
              <w:t>ironmental</w:t>
            </w:r>
            <w:r w:rsidRPr="00D01682">
              <w:rPr>
                <w:i/>
              </w:rPr>
              <w:t xml:space="preserve"> </w:t>
            </w:r>
            <w:r w:rsidR="00C7558C">
              <w:rPr>
                <w:i/>
              </w:rPr>
              <w:t xml:space="preserve">and Other </w:t>
            </w:r>
            <w:r w:rsidRPr="00D01682">
              <w:rPr>
                <w:i/>
              </w:rPr>
              <w:t>Studies</w:t>
            </w:r>
            <w:r w:rsidR="004E785D" w:rsidRPr="00D01682">
              <w:rPr>
                <w:i/>
              </w:rPr>
              <w:t>,</w:t>
            </w:r>
          </w:p>
          <w:p w14:paraId="3CD4FFF1" w14:textId="065D4C6B" w:rsidR="00D9442D" w:rsidRPr="007E788D" w:rsidRDefault="00D9442D" w:rsidP="00873FFB">
            <w:r w:rsidRPr="00D01682">
              <w:rPr>
                <w:i/>
              </w:rPr>
              <w:t>Soil Surveys</w:t>
            </w:r>
          </w:p>
        </w:tc>
        <w:tc>
          <w:tcPr>
            <w:tcW w:w="4145" w:type="pct"/>
          </w:tcPr>
          <w:p w14:paraId="03259123" w14:textId="77777777" w:rsidR="00F03556" w:rsidRPr="00F03556" w:rsidRDefault="00D87883" w:rsidP="00873FFB">
            <w:pPr>
              <w:rPr>
                <w:b/>
                <w:color w:val="6E9699"/>
              </w:rPr>
            </w:pPr>
            <w:r w:rsidRPr="00F03556">
              <w:rPr>
                <w:b/>
                <w:color w:val="6E9699"/>
              </w:rPr>
              <w:t>EXEMPT</w:t>
            </w:r>
          </w:p>
          <w:p w14:paraId="10149F98" w14:textId="756A82BC" w:rsidR="00495735" w:rsidRPr="007A36A1" w:rsidRDefault="00495735" w:rsidP="00873FFB">
            <w:pPr>
              <w:rPr>
                <w:b/>
              </w:rPr>
            </w:pPr>
            <w:r w:rsidRPr="007A36A1">
              <w:rPr>
                <w:b/>
                <w:u w:val="single"/>
              </w:rPr>
              <w:t>All</w:t>
            </w:r>
            <w:r w:rsidRPr="007A36A1">
              <w:rPr>
                <w:b/>
              </w:rPr>
              <w:t xml:space="preserve"> project activities can be considered exempt </w:t>
            </w:r>
            <w:r w:rsidR="006E073C" w:rsidRPr="006E073C">
              <w:rPr>
                <w:i/>
              </w:rPr>
              <w:t>(N</w:t>
            </w:r>
            <w:r w:rsidR="006E073C">
              <w:rPr>
                <w:i/>
              </w:rPr>
              <w:t xml:space="preserve">ot </w:t>
            </w:r>
            <w:r w:rsidR="006E073C" w:rsidRPr="006E073C">
              <w:rPr>
                <w:i/>
              </w:rPr>
              <w:t>L</w:t>
            </w:r>
            <w:r w:rsidR="006E073C">
              <w:rPr>
                <w:i/>
              </w:rPr>
              <w:t>ikely</w:t>
            </w:r>
            <w:r w:rsidR="006E073C" w:rsidRPr="006E073C">
              <w:rPr>
                <w:i/>
              </w:rPr>
              <w:t>)</w:t>
            </w:r>
          </w:p>
          <w:p w14:paraId="75778464" w14:textId="223D23EC" w:rsidR="007746E5" w:rsidRDefault="007746E5" w:rsidP="00EE7324">
            <w:pPr>
              <w:pStyle w:val="ListParagraph"/>
              <w:numPr>
                <w:ilvl w:val="0"/>
                <w:numId w:val="14"/>
              </w:numPr>
            </w:pPr>
            <w:r>
              <w:t xml:space="preserve">Document </w:t>
            </w:r>
            <w:r w:rsidR="00D75E7C">
              <w:t>c</w:t>
            </w:r>
            <w:r>
              <w:t>ompliance with the following requirements (</w:t>
            </w:r>
            <w:r w:rsidR="00D75E7C" w:rsidRPr="00D75E7C">
              <w:t>§</w:t>
            </w:r>
            <w:r w:rsidR="00D75E7C">
              <w:t xml:space="preserve"> </w:t>
            </w:r>
            <w:r>
              <w:t>58.6)</w:t>
            </w:r>
            <w:r w:rsidR="00834761">
              <w:t>:</w:t>
            </w:r>
          </w:p>
          <w:p w14:paraId="0E7D090D" w14:textId="7582B9C6" w:rsidR="007746E5" w:rsidRDefault="005C2568" w:rsidP="007746E5">
            <w:pPr>
              <w:pStyle w:val="ListParagraph"/>
              <w:numPr>
                <w:ilvl w:val="1"/>
                <w:numId w:val="14"/>
              </w:numPr>
            </w:pPr>
            <w:r>
              <w:t>Federal Emergency Management Agency (FEMA) Flood Hazards</w:t>
            </w:r>
          </w:p>
          <w:p w14:paraId="331DDA2A" w14:textId="1FBD05CB" w:rsidR="005C2568" w:rsidRDefault="005C2568" w:rsidP="007746E5">
            <w:pPr>
              <w:pStyle w:val="ListParagraph"/>
              <w:numPr>
                <w:ilvl w:val="1"/>
                <w:numId w:val="14"/>
              </w:numPr>
            </w:pPr>
            <w:r>
              <w:t>Coastal Barrier Resources</w:t>
            </w:r>
          </w:p>
          <w:p w14:paraId="5BCF70A2" w14:textId="4E79D1BC" w:rsidR="00D75E7C" w:rsidRDefault="005C2568" w:rsidP="008102F5">
            <w:pPr>
              <w:pStyle w:val="ListParagraph"/>
              <w:numPr>
                <w:ilvl w:val="1"/>
                <w:numId w:val="14"/>
              </w:numPr>
            </w:pPr>
            <w:r>
              <w:t>Airport Runway Clear Zones or Clear Zones</w:t>
            </w:r>
          </w:p>
          <w:p w14:paraId="6D81E60E" w14:textId="7B7BEA10" w:rsidR="00E11965" w:rsidRDefault="00E11965" w:rsidP="00EE7324">
            <w:pPr>
              <w:pStyle w:val="ListParagraph"/>
              <w:numPr>
                <w:ilvl w:val="0"/>
                <w:numId w:val="14"/>
              </w:numPr>
            </w:pPr>
            <w:r>
              <w:t>Prepare a Finding of Exemption</w:t>
            </w:r>
          </w:p>
          <w:p w14:paraId="47DC5869" w14:textId="2457092D" w:rsidR="00E11965" w:rsidRDefault="00E11965" w:rsidP="00EE7324">
            <w:pPr>
              <w:pStyle w:val="ListParagraph"/>
              <w:numPr>
                <w:ilvl w:val="0"/>
                <w:numId w:val="14"/>
              </w:numPr>
            </w:pPr>
            <w:r>
              <w:t xml:space="preserve">Submit requests to </w:t>
            </w:r>
            <w:r w:rsidR="003250FD">
              <w:t>Commerce</w:t>
            </w:r>
            <w:r>
              <w:t xml:space="preserve"> for drawdown of funds as needed</w:t>
            </w:r>
            <w:r w:rsidR="00462FBE">
              <w:t xml:space="preserve"> (</w:t>
            </w:r>
            <w:r w:rsidR="003C230C">
              <w:t>Request for Release of Funds or “</w:t>
            </w:r>
            <w:r w:rsidR="00462FBE">
              <w:t>RROF</w:t>
            </w:r>
            <w:r w:rsidR="003C230C">
              <w:t>”</w:t>
            </w:r>
            <w:r w:rsidR="00462FBE">
              <w:t xml:space="preserve"> not required)</w:t>
            </w:r>
          </w:p>
          <w:p w14:paraId="49ADF6E7" w14:textId="77777777" w:rsidR="00E11965" w:rsidRDefault="00E11965" w:rsidP="00E11965">
            <w:r>
              <w:t>Environmental Review Record Requirements:</w:t>
            </w:r>
          </w:p>
          <w:p w14:paraId="18A24C0C" w14:textId="49262A0F" w:rsidR="00E11965" w:rsidRDefault="00E11965" w:rsidP="00EE7324">
            <w:pPr>
              <w:pStyle w:val="ListParagraph"/>
              <w:numPr>
                <w:ilvl w:val="0"/>
                <w:numId w:val="15"/>
              </w:numPr>
            </w:pPr>
            <w:r>
              <w:t xml:space="preserve">Designation by adopted resolution of </w:t>
            </w:r>
            <w:r w:rsidR="008723B4">
              <w:t>ECO</w:t>
            </w:r>
            <w:r w:rsidR="00A638B3" w:rsidRPr="00A638B3">
              <w:rPr>
                <w:vertAlign w:val="superscript"/>
              </w:rPr>
              <w:t>1</w:t>
            </w:r>
          </w:p>
          <w:p w14:paraId="69C662E0" w14:textId="30192E1D" w:rsidR="00E11965" w:rsidRDefault="00906CE5" w:rsidP="007A114B">
            <w:pPr>
              <w:pStyle w:val="ListParagraph"/>
              <w:keepNext/>
              <w:numPr>
                <w:ilvl w:val="0"/>
                <w:numId w:val="15"/>
              </w:numPr>
            </w:pPr>
            <w:hyperlink r:id="rId8" w:history="1">
              <w:r w:rsidR="00E21C7F" w:rsidRPr="00EA3BDA">
                <w:rPr>
                  <w:rStyle w:val="Hyperlink"/>
                  <w:b/>
                  <w:bCs/>
                </w:rPr>
                <w:t>HUD Form: Environmental Review for Activity/Project that is Exempt or Categorically Excluded Not Subject to § 58.5</w:t>
              </w:r>
            </w:hyperlink>
            <w:r w:rsidR="007A114B">
              <w:t xml:space="preserve"> (This shows compliance with </w:t>
            </w:r>
            <w:r w:rsidR="007A114B" w:rsidRPr="00D75E7C">
              <w:t>§</w:t>
            </w:r>
            <w:r w:rsidR="007A114B">
              <w:t xml:space="preserve"> 58.6 and documents a Finding of Exemption)</w:t>
            </w:r>
          </w:p>
          <w:p w14:paraId="05A71926" w14:textId="4AD45001" w:rsidR="00E11965" w:rsidRDefault="00E11965" w:rsidP="00EE7324">
            <w:pPr>
              <w:pStyle w:val="ListParagraph"/>
              <w:numPr>
                <w:ilvl w:val="0"/>
                <w:numId w:val="15"/>
              </w:numPr>
            </w:pPr>
            <w:r>
              <w:t>Other documentation and applicable correspondence</w:t>
            </w:r>
          </w:p>
        </w:tc>
      </w:tr>
      <w:tr w:rsidR="00495735" w14:paraId="01820D80" w14:textId="77777777" w:rsidTr="007D4F7E">
        <w:tc>
          <w:tcPr>
            <w:tcW w:w="855" w:type="pct"/>
            <w:shd w:val="clear" w:color="auto" w:fill="C5D4D5"/>
          </w:tcPr>
          <w:p w14:paraId="23FDA784" w14:textId="77777777" w:rsidR="00495735" w:rsidRPr="006F742A" w:rsidRDefault="00495735" w:rsidP="00873FFB">
            <w:pPr>
              <w:rPr>
                <w:b/>
              </w:rPr>
            </w:pPr>
            <w:r w:rsidRPr="006F742A">
              <w:rPr>
                <w:b/>
              </w:rPr>
              <w:t>Finding B</w:t>
            </w:r>
          </w:p>
          <w:p w14:paraId="279E65E0" w14:textId="77777777" w:rsidR="006E073C" w:rsidRDefault="006E073C" w:rsidP="006E073C">
            <w:r w:rsidRPr="006E073C">
              <w:t xml:space="preserve">24 CFR </w:t>
            </w:r>
          </w:p>
          <w:p w14:paraId="0D44E8A9" w14:textId="363C71A8" w:rsidR="006E073C" w:rsidRDefault="006E073C" w:rsidP="00873FFB">
            <w:r w:rsidRPr="006E073C">
              <w:t>§ 58.3</w:t>
            </w:r>
            <w:r>
              <w:t>5</w:t>
            </w:r>
            <w:r w:rsidR="004E785D">
              <w:t>(b)</w:t>
            </w:r>
          </w:p>
          <w:p w14:paraId="7A5D3E8B" w14:textId="77777777" w:rsidR="004E785D" w:rsidRDefault="004E785D" w:rsidP="00873FFB"/>
          <w:p w14:paraId="221DFA4D" w14:textId="0156AC24" w:rsidR="00D9442D" w:rsidRPr="00D01682" w:rsidRDefault="004E785D" w:rsidP="00873FFB">
            <w:pPr>
              <w:rPr>
                <w:i/>
              </w:rPr>
            </w:pPr>
            <w:r w:rsidRPr="00D01682">
              <w:rPr>
                <w:i/>
              </w:rPr>
              <w:t xml:space="preserve">EX: </w:t>
            </w:r>
            <w:r w:rsidR="00D9442D" w:rsidRPr="00D01682">
              <w:rPr>
                <w:i/>
              </w:rPr>
              <w:t>Homebuyer Assist</w:t>
            </w:r>
            <w:r w:rsidR="000750ED">
              <w:rPr>
                <w:i/>
              </w:rPr>
              <w:t>ance</w:t>
            </w:r>
            <w:r w:rsidR="00A629FA">
              <w:rPr>
                <w:i/>
              </w:rPr>
              <w:t>, Supportive Services</w:t>
            </w:r>
          </w:p>
        </w:tc>
        <w:tc>
          <w:tcPr>
            <w:tcW w:w="4145" w:type="pct"/>
          </w:tcPr>
          <w:p w14:paraId="055DCF0D" w14:textId="30A7BF4A" w:rsidR="00F03556" w:rsidRPr="00F03556" w:rsidRDefault="008E6B94" w:rsidP="00873FFB">
            <w:pPr>
              <w:rPr>
                <w:b/>
                <w:color w:val="6E9699"/>
              </w:rPr>
            </w:pPr>
            <w:r w:rsidRPr="00F03556">
              <w:rPr>
                <w:b/>
                <w:color w:val="6E9699"/>
              </w:rPr>
              <w:t xml:space="preserve">CATEGORICALLY EXCLUDED, NOT SUBJECT TO </w:t>
            </w:r>
            <w:r w:rsidR="00D75E7C" w:rsidRPr="00D75E7C">
              <w:rPr>
                <w:b/>
                <w:color w:val="6E9699"/>
              </w:rPr>
              <w:t>§</w:t>
            </w:r>
            <w:r w:rsidR="00D75E7C">
              <w:rPr>
                <w:b/>
                <w:color w:val="6E9699"/>
              </w:rPr>
              <w:t xml:space="preserve"> </w:t>
            </w:r>
            <w:r w:rsidRPr="00F03556">
              <w:rPr>
                <w:b/>
                <w:color w:val="6E9699"/>
              </w:rPr>
              <w:t>58.5</w:t>
            </w:r>
            <w:r w:rsidR="00171A2F">
              <w:rPr>
                <w:b/>
                <w:color w:val="6E9699"/>
              </w:rPr>
              <w:t xml:space="preserve"> (CENST)</w:t>
            </w:r>
          </w:p>
          <w:p w14:paraId="4648EE6F" w14:textId="494D75D3" w:rsidR="00495735" w:rsidRPr="007A36A1" w:rsidRDefault="00495735" w:rsidP="00873FFB">
            <w:pPr>
              <w:rPr>
                <w:b/>
              </w:rPr>
            </w:pPr>
            <w:r w:rsidRPr="007A36A1">
              <w:rPr>
                <w:b/>
                <w:u w:val="single"/>
              </w:rPr>
              <w:t>All</w:t>
            </w:r>
            <w:r w:rsidRPr="007A36A1">
              <w:rPr>
                <w:b/>
              </w:rPr>
              <w:t xml:space="preserve"> project activities can be categorically excluded</w:t>
            </w:r>
            <w:r w:rsidR="004C4A3A">
              <w:rPr>
                <w:b/>
              </w:rPr>
              <w:t>,</w:t>
            </w:r>
            <w:r w:rsidRPr="007A36A1">
              <w:rPr>
                <w:b/>
              </w:rPr>
              <w:t xml:space="preserve"> and </w:t>
            </w:r>
            <w:r w:rsidRPr="007A36A1">
              <w:rPr>
                <w:b/>
                <w:u w:val="single"/>
              </w:rPr>
              <w:t>no</w:t>
            </w:r>
            <w:r w:rsidRPr="007A36A1">
              <w:rPr>
                <w:b/>
              </w:rPr>
              <w:t xml:space="preserve"> activities are affected by federal statu</w:t>
            </w:r>
            <w:r w:rsidR="000B7285" w:rsidRPr="007A36A1">
              <w:rPr>
                <w:b/>
              </w:rPr>
              <w:t>t</w:t>
            </w:r>
            <w:r w:rsidRPr="007A36A1">
              <w:rPr>
                <w:b/>
              </w:rPr>
              <w:t xml:space="preserve">es </w:t>
            </w:r>
            <w:r w:rsidR="000B7285" w:rsidRPr="007A36A1">
              <w:rPr>
                <w:b/>
              </w:rPr>
              <w:t>and</w:t>
            </w:r>
            <w:r w:rsidRPr="007A36A1">
              <w:rPr>
                <w:b/>
              </w:rPr>
              <w:t xml:space="preserve"> executive orders</w:t>
            </w:r>
          </w:p>
          <w:p w14:paraId="5CF7457A" w14:textId="77777777" w:rsidR="00D03355" w:rsidRDefault="00D03355" w:rsidP="0090704F">
            <w:pPr>
              <w:pStyle w:val="ListParagraph"/>
              <w:numPr>
                <w:ilvl w:val="0"/>
                <w:numId w:val="15"/>
              </w:numPr>
            </w:pPr>
            <w:r>
              <w:t>Document compliance with the following requirements (</w:t>
            </w:r>
            <w:r w:rsidRPr="00D75E7C">
              <w:t>§</w:t>
            </w:r>
            <w:r>
              <w:t xml:space="preserve"> 58.6):</w:t>
            </w:r>
          </w:p>
          <w:p w14:paraId="15312F0B" w14:textId="77777777" w:rsidR="00D03355" w:rsidRDefault="00D03355" w:rsidP="0090704F">
            <w:pPr>
              <w:pStyle w:val="ListParagraph"/>
              <w:numPr>
                <w:ilvl w:val="1"/>
                <w:numId w:val="15"/>
              </w:numPr>
            </w:pPr>
            <w:r>
              <w:t>Federal Emergency Management Agency (FEMA) Flood Hazards</w:t>
            </w:r>
          </w:p>
          <w:p w14:paraId="1AE664AF" w14:textId="77777777" w:rsidR="00D03355" w:rsidRDefault="00D03355" w:rsidP="0090704F">
            <w:pPr>
              <w:pStyle w:val="ListParagraph"/>
              <w:numPr>
                <w:ilvl w:val="1"/>
                <w:numId w:val="15"/>
              </w:numPr>
            </w:pPr>
            <w:r>
              <w:t>Coastal Barrier Resources</w:t>
            </w:r>
          </w:p>
          <w:p w14:paraId="7C2745E4" w14:textId="1B074B6B" w:rsidR="00D03355" w:rsidRDefault="00D03355" w:rsidP="0090704F">
            <w:pPr>
              <w:pStyle w:val="ListParagraph"/>
              <w:numPr>
                <w:ilvl w:val="1"/>
                <w:numId w:val="15"/>
              </w:numPr>
            </w:pPr>
            <w:r>
              <w:t>Airport Runway Clear Zones or Clear Zones</w:t>
            </w:r>
          </w:p>
          <w:p w14:paraId="54B68471" w14:textId="1C9B1864" w:rsidR="000B7285" w:rsidRDefault="002D554A" w:rsidP="0090704F">
            <w:pPr>
              <w:pStyle w:val="ListParagraph"/>
              <w:numPr>
                <w:ilvl w:val="0"/>
                <w:numId w:val="15"/>
              </w:numPr>
            </w:pPr>
            <w:r>
              <w:t>Prepare a Finding of Exemption</w:t>
            </w:r>
            <w:r w:rsidR="00BA4A80">
              <w:t xml:space="preserve"> (CENST)</w:t>
            </w:r>
          </w:p>
          <w:p w14:paraId="21E8D90A" w14:textId="43AED17E" w:rsidR="002D554A" w:rsidRDefault="002D554A" w:rsidP="0090704F">
            <w:pPr>
              <w:pStyle w:val="ListParagraph"/>
              <w:numPr>
                <w:ilvl w:val="0"/>
                <w:numId w:val="15"/>
              </w:numPr>
            </w:pPr>
            <w:r>
              <w:t xml:space="preserve">Submit requests to </w:t>
            </w:r>
            <w:r w:rsidR="003250FD">
              <w:t>Commerce</w:t>
            </w:r>
            <w:r>
              <w:t xml:space="preserve"> for drawdown of funds as needed</w:t>
            </w:r>
            <w:r w:rsidR="00462FBE">
              <w:t xml:space="preserve"> (RROF not required</w:t>
            </w:r>
            <w:r w:rsidR="003A1C03">
              <w:t xml:space="preserve"> unless specifically requested by Commerce</w:t>
            </w:r>
            <w:r w:rsidR="00462FBE">
              <w:t>)</w:t>
            </w:r>
          </w:p>
          <w:p w14:paraId="06BCFEB6" w14:textId="77777777" w:rsidR="007A36A1" w:rsidRDefault="007A36A1" w:rsidP="007A36A1">
            <w:r>
              <w:t>Environmental Review Record Requirements:</w:t>
            </w:r>
          </w:p>
          <w:p w14:paraId="7193948A" w14:textId="03731E6B" w:rsidR="00165403" w:rsidRDefault="001D7D8D" w:rsidP="0090704F">
            <w:pPr>
              <w:pStyle w:val="ListParagraph"/>
              <w:numPr>
                <w:ilvl w:val="0"/>
                <w:numId w:val="15"/>
              </w:numPr>
            </w:pPr>
            <w:r>
              <w:t xml:space="preserve">Designation by adopted resolution of </w:t>
            </w:r>
            <w:r w:rsidR="00810FC6">
              <w:t>ECO</w:t>
            </w:r>
            <w:r w:rsidR="00AE667D" w:rsidRPr="00A638B3">
              <w:rPr>
                <w:vertAlign w:val="superscript"/>
              </w:rPr>
              <w:t>1</w:t>
            </w:r>
          </w:p>
          <w:p w14:paraId="36C81BB6" w14:textId="37308B91" w:rsidR="00D03355" w:rsidRDefault="00906CE5" w:rsidP="0090704F">
            <w:pPr>
              <w:pStyle w:val="ListParagraph"/>
              <w:keepNext/>
              <w:numPr>
                <w:ilvl w:val="0"/>
                <w:numId w:val="15"/>
              </w:numPr>
            </w:pPr>
            <w:hyperlink r:id="rId9" w:history="1">
              <w:r w:rsidR="00630468" w:rsidRPr="00EA3BDA">
                <w:rPr>
                  <w:rStyle w:val="Hyperlink"/>
                  <w:b/>
                  <w:bCs/>
                </w:rPr>
                <w:t>HUD Form: Environmental Review for Activity/Project that Is Exempt or Categorically Excluded Not Subject to § 58.5</w:t>
              </w:r>
            </w:hyperlink>
            <w:r w:rsidR="0090704F">
              <w:t xml:space="preserve"> (This shows compliance with </w:t>
            </w:r>
            <w:r w:rsidR="0090704F" w:rsidRPr="00D75E7C">
              <w:t>§</w:t>
            </w:r>
            <w:r w:rsidR="0090704F">
              <w:t xml:space="preserve"> 58.6 and documents a Finding of Exemption “CENST”)</w:t>
            </w:r>
          </w:p>
          <w:p w14:paraId="73182CF8" w14:textId="10FAE5FB" w:rsidR="007A36A1" w:rsidRDefault="007A36A1" w:rsidP="0090704F">
            <w:pPr>
              <w:pStyle w:val="ListParagraph"/>
              <w:numPr>
                <w:ilvl w:val="0"/>
                <w:numId w:val="15"/>
              </w:numPr>
            </w:pPr>
            <w:r>
              <w:t>Other documentation and applicable correspondence</w:t>
            </w:r>
          </w:p>
        </w:tc>
      </w:tr>
      <w:tr w:rsidR="00495735" w14:paraId="689BB381" w14:textId="77777777" w:rsidTr="007D4F7E">
        <w:tc>
          <w:tcPr>
            <w:tcW w:w="855" w:type="pct"/>
            <w:shd w:val="clear" w:color="auto" w:fill="C5D4D5"/>
          </w:tcPr>
          <w:p w14:paraId="63231F78" w14:textId="77777777" w:rsidR="00495735" w:rsidRPr="006F742A" w:rsidRDefault="00495735" w:rsidP="00323600">
            <w:pPr>
              <w:keepNext/>
              <w:rPr>
                <w:b/>
              </w:rPr>
            </w:pPr>
            <w:r w:rsidRPr="006F742A">
              <w:rPr>
                <w:b/>
              </w:rPr>
              <w:lastRenderedPageBreak/>
              <w:t>Finding C</w:t>
            </w:r>
          </w:p>
          <w:p w14:paraId="2938025B" w14:textId="77777777" w:rsidR="004D26D8" w:rsidRDefault="004D26D8" w:rsidP="00323600">
            <w:pPr>
              <w:keepNext/>
            </w:pPr>
            <w:r w:rsidRPr="006E073C">
              <w:t xml:space="preserve">24 CFR </w:t>
            </w:r>
          </w:p>
          <w:p w14:paraId="0807AB01" w14:textId="155AB021" w:rsidR="004D26D8" w:rsidRDefault="004D26D8" w:rsidP="00323600">
            <w:pPr>
              <w:keepNext/>
            </w:pPr>
            <w:r w:rsidRPr="006E073C">
              <w:t>§ 58.3</w:t>
            </w:r>
            <w:r w:rsidR="004F44C7">
              <w:t>5</w:t>
            </w:r>
            <w:r w:rsidR="004E785D">
              <w:t>(a)</w:t>
            </w:r>
          </w:p>
          <w:p w14:paraId="754C56D1" w14:textId="77777777" w:rsidR="004E785D" w:rsidRDefault="004E785D" w:rsidP="00323600">
            <w:pPr>
              <w:keepNext/>
            </w:pPr>
          </w:p>
          <w:p w14:paraId="754C8E16" w14:textId="09C89925" w:rsidR="00D9442D" w:rsidRPr="00D01682" w:rsidRDefault="004E785D" w:rsidP="00323600">
            <w:pPr>
              <w:keepNext/>
              <w:rPr>
                <w:i/>
              </w:rPr>
            </w:pPr>
            <w:r w:rsidRPr="00D01682">
              <w:rPr>
                <w:i/>
              </w:rPr>
              <w:t xml:space="preserve">EX: </w:t>
            </w:r>
            <w:r w:rsidR="00D9442D" w:rsidRPr="00D01682">
              <w:rPr>
                <w:i/>
              </w:rPr>
              <w:t>M</w:t>
            </w:r>
            <w:r w:rsidR="000750ED">
              <w:rPr>
                <w:i/>
              </w:rPr>
              <w:t xml:space="preserve">ulti- and </w:t>
            </w:r>
            <w:r w:rsidR="00D9442D" w:rsidRPr="00D01682">
              <w:rPr>
                <w:i/>
              </w:rPr>
              <w:t>S</w:t>
            </w:r>
            <w:r w:rsidR="000750ED">
              <w:rPr>
                <w:i/>
              </w:rPr>
              <w:t>ingle-</w:t>
            </w:r>
            <w:r w:rsidR="00D9442D" w:rsidRPr="00D01682">
              <w:rPr>
                <w:i/>
              </w:rPr>
              <w:t>F</w:t>
            </w:r>
            <w:r w:rsidR="000750ED">
              <w:rPr>
                <w:i/>
              </w:rPr>
              <w:t>amily</w:t>
            </w:r>
            <w:r w:rsidR="00D9442D" w:rsidRPr="00D01682">
              <w:rPr>
                <w:i/>
              </w:rPr>
              <w:t xml:space="preserve"> Rehab</w:t>
            </w:r>
            <w:r w:rsidR="000750ED">
              <w:rPr>
                <w:i/>
              </w:rPr>
              <w:t>ilitation</w:t>
            </w:r>
            <w:r w:rsidR="00D9442D" w:rsidRPr="00D01682">
              <w:rPr>
                <w:i/>
              </w:rPr>
              <w:t xml:space="preserve"> (Not Significant)</w:t>
            </w:r>
          </w:p>
        </w:tc>
        <w:tc>
          <w:tcPr>
            <w:tcW w:w="4145" w:type="pct"/>
          </w:tcPr>
          <w:p w14:paraId="4BDDC01F" w14:textId="514482D7" w:rsidR="00F03556" w:rsidRPr="00F03556" w:rsidRDefault="00F03556" w:rsidP="00323600">
            <w:pPr>
              <w:keepNext/>
              <w:rPr>
                <w:b/>
                <w:color w:val="6E9699"/>
              </w:rPr>
            </w:pPr>
            <w:r w:rsidRPr="00F03556">
              <w:rPr>
                <w:b/>
                <w:color w:val="6E9699"/>
              </w:rPr>
              <w:t xml:space="preserve">CATEGORICALLY EXCLUDED, SUBJECT TO </w:t>
            </w:r>
            <w:r w:rsidR="00D75E7C" w:rsidRPr="00D75E7C">
              <w:rPr>
                <w:b/>
                <w:color w:val="6E9699"/>
              </w:rPr>
              <w:t>§</w:t>
            </w:r>
            <w:r w:rsidR="00D75E7C">
              <w:rPr>
                <w:b/>
                <w:color w:val="6E9699"/>
              </w:rPr>
              <w:t xml:space="preserve"> </w:t>
            </w:r>
            <w:r w:rsidRPr="00F03556">
              <w:rPr>
                <w:b/>
                <w:color w:val="6E9699"/>
              </w:rPr>
              <w:t>58.5</w:t>
            </w:r>
            <w:r w:rsidR="00171A2F">
              <w:rPr>
                <w:b/>
                <w:color w:val="6E9699"/>
              </w:rPr>
              <w:t xml:space="preserve"> (CEST)</w:t>
            </w:r>
          </w:p>
          <w:p w14:paraId="1EC1511E" w14:textId="3BADF7D8" w:rsidR="00495735" w:rsidRPr="00845F4B" w:rsidRDefault="00495735" w:rsidP="00323600">
            <w:pPr>
              <w:keepNext/>
              <w:rPr>
                <w:b/>
              </w:rPr>
            </w:pPr>
            <w:r w:rsidRPr="00845F4B">
              <w:rPr>
                <w:b/>
                <w:u w:val="single"/>
              </w:rPr>
              <w:t>All</w:t>
            </w:r>
            <w:r w:rsidRPr="00845F4B">
              <w:rPr>
                <w:b/>
              </w:rPr>
              <w:t xml:space="preserve"> project activities can be categorically excluded</w:t>
            </w:r>
            <w:r w:rsidR="004C4A3A">
              <w:rPr>
                <w:b/>
              </w:rPr>
              <w:t>,</w:t>
            </w:r>
            <w:r w:rsidRPr="00845F4B">
              <w:rPr>
                <w:b/>
              </w:rPr>
              <w:t xml:space="preserve"> and </w:t>
            </w:r>
            <w:r w:rsidRPr="00845F4B">
              <w:rPr>
                <w:b/>
                <w:u w:val="single"/>
              </w:rPr>
              <w:t>some</w:t>
            </w:r>
            <w:r w:rsidRPr="00845F4B">
              <w:rPr>
                <w:b/>
              </w:rPr>
              <w:t xml:space="preserve"> activities are affected by federal statu</w:t>
            </w:r>
            <w:r w:rsidR="0065163B" w:rsidRPr="00845F4B">
              <w:rPr>
                <w:b/>
              </w:rPr>
              <w:t>t</w:t>
            </w:r>
            <w:r w:rsidRPr="00845F4B">
              <w:rPr>
                <w:b/>
              </w:rPr>
              <w:t>es and executive orders</w:t>
            </w:r>
          </w:p>
          <w:p w14:paraId="15FA26EF" w14:textId="77777777" w:rsidR="00636495" w:rsidRDefault="00636495" w:rsidP="006978DA">
            <w:pPr>
              <w:pStyle w:val="ListParagraph"/>
              <w:keepNext/>
              <w:numPr>
                <w:ilvl w:val="0"/>
                <w:numId w:val="46"/>
              </w:numPr>
            </w:pPr>
            <w:r>
              <w:t>Document compliance with the following requirements (</w:t>
            </w:r>
            <w:r w:rsidRPr="00D75E7C">
              <w:t>§</w:t>
            </w:r>
            <w:r>
              <w:t xml:space="preserve"> 58.6):</w:t>
            </w:r>
          </w:p>
          <w:p w14:paraId="38B450CD" w14:textId="77777777" w:rsidR="00636495" w:rsidRDefault="00636495" w:rsidP="006978DA">
            <w:pPr>
              <w:pStyle w:val="ListParagraph"/>
              <w:keepNext/>
              <w:numPr>
                <w:ilvl w:val="1"/>
                <w:numId w:val="46"/>
              </w:numPr>
            </w:pPr>
            <w:r>
              <w:t>Federal Emergency Management Agency (FEMA) Flood Hazards</w:t>
            </w:r>
          </w:p>
          <w:p w14:paraId="788CA83A" w14:textId="77777777" w:rsidR="00636495" w:rsidRDefault="00636495" w:rsidP="006978DA">
            <w:pPr>
              <w:pStyle w:val="ListParagraph"/>
              <w:keepNext/>
              <w:numPr>
                <w:ilvl w:val="1"/>
                <w:numId w:val="46"/>
              </w:numPr>
            </w:pPr>
            <w:r>
              <w:t>Coastal Barrier Resources</w:t>
            </w:r>
          </w:p>
          <w:p w14:paraId="70736517" w14:textId="4BA5D2D5" w:rsidR="00636495" w:rsidRDefault="00636495" w:rsidP="006978DA">
            <w:pPr>
              <w:pStyle w:val="ListParagraph"/>
              <w:keepNext/>
              <w:numPr>
                <w:ilvl w:val="1"/>
                <w:numId w:val="46"/>
              </w:numPr>
            </w:pPr>
            <w:r>
              <w:t>Airport Runway Clear Zones or Clear Zones</w:t>
            </w:r>
          </w:p>
          <w:p w14:paraId="547634D9" w14:textId="0076B1E7" w:rsidR="0065163B" w:rsidRDefault="0065163B" w:rsidP="006978DA">
            <w:pPr>
              <w:pStyle w:val="ListParagraph"/>
              <w:keepNext/>
              <w:numPr>
                <w:ilvl w:val="0"/>
                <w:numId w:val="46"/>
              </w:numPr>
            </w:pPr>
            <w:r>
              <w:t>Complete the Statutory Checklist</w:t>
            </w:r>
            <w:r w:rsidR="00321CC2">
              <w:t xml:space="preserve"> </w:t>
            </w:r>
            <w:r w:rsidR="005D6534">
              <w:t>(</w:t>
            </w:r>
            <w:r w:rsidR="005D6534" w:rsidRPr="005D6534">
              <w:t>§ 58.5</w:t>
            </w:r>
            <w:r w:rsidR="005D6534">
              <w:t>)</w:t>
            </w:r>
          </w:p>
          <w:p w14:paraId="02F8E774" w14:textId="26237F58" w:rsidR="00826F1D" w:rsidRDefault="00055786" w:rsidP="006978DA">
            <w:pPr>
              <w:pStyle w:val="ListParagraph"/>
              <w:keepNext/>
              <w:numPr>
                <w:ilvl w:val="0"/>
                <w:numId w:val="46"/>
              </w:numPr>
            </w:pPr>
            <w:r>
              <w:t>Prepare a Finding of Categorical Exclusion</w:t>
            </w:r>
            <w:r w:rsidR="00BA4A80">
              <w:t xml:space="preserve"> (CEST)</w:t>
            </w:r>
          </w:p>
          <w:p w14:paraId="2A2B9D10" w14:textId="18B82C78" w:rsidR="00055786" w:rsidRDefault="00055786" w:rsidP="006978DA">
            <w:pPr>
              <w:pStyle w:val="ListParagraph"/>
              <w:keepNext/>
              <w:numPr>
                <w:ilvl w:val="0"/>
                <w:numId w:val="46"/>
              </w:numPr>
            </w:pPr>
            <w:r>
              <w:t xml:space="preserve">Prepare a </w:t>
            </w:r>
            <w:r w:rsidR="00321CC2">
              <w:t xml:space="preserve">Notice of Intent </w:t>
            </w:r>
            <w:r w:rsidR="003D5E30">
              <w:t>to</w:t>
            </w:r>
            <w:r w:rsidR="00321CC2">
              <w:t xml:space="preserve"> Request Release of Funds (</w:t>
            </w:r>
            <w:r>
              <w:t>NOI/</w:t>
            </w:r>
            <w:proofErr w:type="gramStart"/>
            <w:r>
              <w:t>RROF</w:t>
            </w:r>
            <w:r w:rsidR="00321CC2">
              <w:t>)</w:t>
            </w:r>
            <w:r w:rsidR="007C5946">
              <w:t>*</w:t>
            </w:r>
            <w:proofErr w:type="gramEnd"/>
          </w:p>
          <w:p w14:paraId="3FFEC7C8" w14:textId="6C8EC55E" w:rsidR="00055786" w:rsidRDefault="00055786" w:rsidP="006978DA">
            <w:pPr>
              <w:pStyle w:val="ListParagraph"/>
              <w:keepNext/>
              <w:numPr>
                <w:ilvl w:val="0"/>
                <w:numId w:val="46"/>
              </w:numPr>
            </w:pPr>
            <w:r>
              <w:t xml:space="preserve">Submit RROF and Certification to </w:t>
            </w:r>
            <w:r w:rsidR="003250FD">
              <w:t>Commerce</w:t>
            </w:r>
            <w:r w:rsidR="00321CC2">
              <w:t xml:space="preserve"> or HUD as applicable</w:t>
            </w:r>
            <w:r w:rsidR="007C5946">
              <w:t>*</w:t>
            </w:r>
          </w:p>
          <w:p w14:paraId="5CE1C9DE" w14:textId="77777777" w:rsidR="00055786" w:rsidRDefault="001D7D8D" w:rsidP="00323600">
            <w:pPr>
              <w:keepNext/>
            </w:pPr>
            <w:r>
              <w:t>Environmental Review Record Requirements:</w:t>
            </w:r>
          </w:p>
          <w:p w14:paraId="6698295D" w14:textId="28F0EBA3" w:rsidR="00636495" w:rsidRDefault="005534AC" w:rsidP="006978DA">
            <w:pPr>
              <w:pStyle w:val="ListParagraph"/>
              <w:keepNext/>
              <w:numPr>
                <w:ilvl w:val="0"/>
                <w:numId w:val="46"/>
              </w:numPr>
            </w:pPr>
            <w:r>
              <w:t xml:space="preserve">Designation by adopted resolution of </w:t>
            </w:r>
            <w:r w:rsidR="00126C99">
              <w:t>ECO</w:t>
            </w:r>
            <w:r w:rsidR="00DD0266">
              <w:rPr>
                <w:rStyle w:val="FootnoteReference"/>
              </w:rPr>
              <w:footnoteReference w:id="2"/>
            </w:r>
          </w:p>
          <w:p w14:paraId="7DEB2498" w14:textId="77777777" w:rsidR="00C449F8" w:rsidRDefault="00906CE5" w:rsidP="00C449F8">
            <w:pPr>
              <w:pStyle w:val="ListParagraph"/>
              <w:keepNext/>
              <w:numPr>
                <w:ilvl w:val="0"/>
                <w:numId w:val="46"/>
              </w:numPr>
            </w:pPr>
            <w:hyperlink r:id="rId10" w:history="1">
              <w:r w:rsidR="00630468" w:rsidRPr="00EA3BDA">
                <w:rPr>
                  <w:rStyle w:val="Hyperlink"/>
                  <w:b/>
                  <w:bCs/>
                </w:rPr>
                <w:t>HUD Form: Environmental Review for Activity/Project that Is Categorically Excluded Subject to § 58.5</w:t>
              </w:r>
            </w:hyperlink>
            <w:r w:rsidR="00CC2821">
              <w:t xml:space="preserve"> (This shows compliance with </w:t>
            </w:r>
            <w:r w:rsidR="00CC2821" w:rsidRPr="00D75E7C">
              <w:t>§</w:t>
            </w:r>
            <w:r w:rsidR="00CC2821">
              <w:t xml:space="preserve"> 58.6, includes the Statutory Checklist for requirements at </w:t>
            </w:r>
            <w:r w:rsidR="00CC2821" w:rsidRPr="005D6534">
              <w:t>§ 58.5</w:t>
            </w:r>
            <w:r w:rsidR="00CC2821">
              <w:t>, and documents a Finding of Categorical Exclusion “CEST”)</w:t>
            </w:r>
          </w:p>
          <w:p w14:paraId="30E87287" w14:textId="34139DC0" w:rsidR="00C24F68" w:rsidRDefault="00906CE5" w:rsidP="00C449F8">
            <w:pPr>
              <w:pStyle w:val="ListParagraph"/>
              <w:keepNext/>
            </w:pPr>
            <w:hyperlink r:id="rId11" w:history="1">
              <w:r w:rsidR="00C24F68" w:rsidRPr="00F173DE">
                <w:rPr>
                  <w:rStyle w:val="Hyperlink"/>
                </w:rPr>
                <w:t xml:space="preserve">Documentation showing compliance with </w:t>
              </w:r>
              <w:r w:rsidR="00F173DE" w:rsidRPr="00F173DE">
                <w:rPr>
                  <w:rStyle w:val="Hyperlink"/>
                </w:rPr>
                <w:t xml:space="preserve">related </w:t>
              </w:r>
              <w:r w:rsidR="00C24F68" w:rsidRPr="00F173DE">
                <w:rPr>
                  <w:rStyle w:val="Hyperlink"/>
                </w:rPr>
                <w:t>laws and authorities</w:t>
              </w:r>
            </w:hyperlink>
            <w:r w:rsidR="00C449F8">
              <w:t>, including but not limited to</w:t>
            </w:r>
            <w:r w:rsidR="00F173DE">
              <w:t>:</w:t>
            </w:r>
          </w:p>
          <w:p w14:paraId="56ADDED2" w14:textId="7BF33FDD" w:rsidR="00F173DE" w:rsidRDefault="00906CE5" w:rsidP="00F173DE">
            <w:pPr>
              <w:pStyle w:val="ListParagraph"/>
              <w:keepNext/>
              <w:numPr>
                <w:ilvl w:val="1"/>
                <w:numId w:val="46"/>
              </w:numPr>
            </w:pPr>
            <w:hyperlink r:id="rId12" w:history="1">
              <w:r w:rsidR="008D7251" w:rsidRPr="008D7251">
                <w:rPr>
                  <w:rStyle w:val="Hyperlink"/>
                </w:rPr>
                <w:t>Explosive and flammable facilities</w:t>
              </w:r>
            </w:hyperlink>
            <w:r w:rsidR="008D7251">
              <w:t xml:space="preserve"> </w:t>
            </w:r>
            <w:r w:rsidR="00C449F8">
              <w:t>documentation/</w:t>
            </w:r>
            <w:r w:rsidR="008D7251">
              <w:t xml:space="preserve">worksheet and, if needed, </w:t>
            </w:r>
            <w:hyperlink r:id="rId13" w:history="1">
              <w:r w:rsidR="006978DA">
                <w:rPr>
                  <w:rStyle w:val="Hyperlink"/>
                </w:rPr>
                <w:t xml:space="preserve">Acceptable Separation Distance </w:t>
              </w:r>
              <w:r w:rsidR="0020362F">
                <w:rPr>
                  <w:rStyle w:val="Hyperlink"/>
                </w:rPr>
                <w:t>“</w:t>
              </w:r>
              <w:r w:rsidR="006978DA">
                <w:rPr>
                  <w:rStyle w:val="Hyperlink"/>
                </w:rPr>
                <w:t>ASD</w:t>
              </w:r>
              <w:r w:rsidR="0020362F">
                <w:rPr>
                  <w:rStyle w:val="Hyperlink"/>
                </w:rPr>
                <w:t>”</w:t>
              </w:r>
            </w:hyperlink>
            <w:r w:rsidR="008D7251">
              <w:t xml:space="preserve"> calculation (as applicable</w:t>
            </w:r>
            <w:r w:rsidR="00C449F8">
              <w:t xml:space="preserve"> by project</w:t>
            </w:r>
            <w:r w:rsidR="008D7251">
              <w:t>)</w:t>
            </w:r>
          </w:p>
          <w:p w14:paraId="172262CC" w14:textId="4F2A9E4E" w:rsidR="00F173DE" w:rsidRDefault="00906CE5" w:rsidP="00F173DE">
            <w:pPr>
              <w:pStyle w:val="ListParagraph"/>
              <w:keepNext/>
              <w:numPr>
                <w:ilvl w:val="1"/>
                <w:numId w:val="46"/>
              </w:numPr>
            </w:pPr>
            <w:hyperlink r:id="rId14" w:history="1">
              <w:r w:rsidR="006978DA" w:rsidRPr="006978DA">
                <w:rPr>
                  <w:rStyle w:val="Hyperlink"/>
                </w:rPr>
                <w:t>Noise abatement and control</w:t>
              </w:r>
            </w:hyperlink>
            <w:r w:rsidR="006978DA">
              <w:t xml:space="preserve"> </w:t>
            </w:r>
            <w:r w:rsidR="00C449F8">
              <w:t>documentation/</w:t>
            </w:r>
            <w:r w:rsidR="006978DA">
              <w:t xml:space="preserve">worksheet and, if needed, </w:t>
            </w:r>
            <w:hyperlink r:id="rId15" w:history="1">
              <w:r w:rsidR="006978DA" w:rsidRPr="006978DA">
                <w:rPr>
                  <w:rStyle w:val="Hyperlink"/>
                </w:rPr>
                <w:t>Day/Night Noise Level “DNL”</w:t>
              </w:r>
            </w:hyperlink>
            <w:r w:rsidR="006978DA">
              <w:t xml:space="preserve"> calculation (as applicable by project)</w:t>
            </w:r>
          </w:p>
          <w:p w14:paraId="32045DF6" w14:textId="1A1A3A09" w:rsidR="00F173DE" w:rsidRDefault="00906CE5" w:rsidP="00F173DE">
            <w:pPr>
              <w:pStyle w:val="ListParagraph"/>
              <w:keepNext/>
              <w:numPr>
                <w:ilvl w:val="1"/>
                <w:numId w:val="46"/>
              </w:numPr>
            </w:pPr>
            <w:hyperlink r:id="rId16" w:history="1">
              <w:r w:rsidR="005B50BD">
                <w:rPr>
                  <w:rStyle w:val="Hyperlink"/>
                </w:rPr>
                <w:t>Floodplain management eight-step decision making process</w:t>
              </w:r>
            </w:hyperlink>
            <w:r w:rsidR="005B50BD">
              <w:t xml:space="preserve"> documentation/worksheet (as applicable by project)</w:t>
            </w:r>
          </w:p>
          <w:p w14:paraId="3880648C" w14:textId="77777777" w:rsidR="00F173DE" w:rsidRDefault="00906CE5" w:rsidP="00F173DE">
            <w:pPr>
              <w:pStyle w:val="ListParagraph"/>
              <w:keepNext/>
              <w:numPr>
                <w:ilvl w:val="1"/>
                <w:numId w:val="46"/>
              </w:numPr>
            </w:pPr>
            <w:hyperlink r:id="rId17" w:history="1">
              <w:r w:rsidR="005B50BD">
                <w:rPr>
                  <w:rStyle w:val="Hyperlink"/>
                </w:rPr>
                <w:t>Early public notice for activities in 100-/500-year floodplain or wetland</w:t>
              </w:r>
            </w:hyperlink>
            <w:r w:rsidR="005B50BD">
              <w:t xml:space="preserve"> (as applicable by project)</w:t>
            </w:r>
          </w:p>
          <w:p w14:paraId="46290E46" w14:textId="2B1AA6DE" w:rsidR="005B50BD" w:rsidRDefault="00906CE5" w:rsidP="00F173DE">
            <w:pPr>
              <w:pStyle w:val="ListParagraph"/>
              <w:keepNext/>
              <w:numPr>
                <w:ilvl w:val="1"/>
                <w:numId w:val="46"/>
              </w:numPr>
            </w:pPr>
            <w:hyperlink r:id="rId18" w:history="1">
              <w:r w:rsidR="005B50BD" w:rsidRPr="00B56C8C">
                <w:rPr>
                  <w:rStyle w:val="Hyperlink"/>
                </w:rPr>
                <w:t>Final notice and public explanation for activities in a 100-/500-year floodplain or wetland</w:t>
              </w:r>
            </w:hyperlink>
            <w:r w:rsidR="005B50BD">
              <w:t xml:space="preserve"> (as applicable by project)</w:t>
            </w:r>
          </w:p>
          <w:p w14:paraId="463BE951" w14:textId="001AEBEA" w:rsidR="00636495" w:rsidRDefault="00906CE5" w:rsidP="006978DA">
            <w:pPr>
              <w:pStyle w:val="ListParagraph"/>
              <w:keepNext/>
              <w:numPr>
                <w:ilvl w:val="0"/>
                <w:numId w:val="46"/>
              </w:numPr>
            </w:pPr>
            <w:hyperlink r:id="rId19" w:history="1">
              <w:r w:rsidR="009903DC" w:rsidRPr="009977B7">
                <w:rPr>
                  <w:rStyle w:val="Hyperlink"/>
                </w:rPr>
                <w:t>NOI/RROF</w:t>
              </w:r>
            </w:hyperlink>
            <w:r w:rsidR="007E586F">
              <w:t xml:space="preserve"> and proof of publication</w:t>
            </w:r>
          </w:p>
          <w:p w14:paraId="5C21DE7F" w14:textId="77777777" w:rsidR="003E3DAC" w:rsidRDefault="00906CE5" w:rsidP="006978DA">
            <w:pPr>
              <w:pStyle w:val="ListParagraph"/>
              <w:numPr>
                <w:ilvl w:val="0"/>
                <w:numId w:val="46"/>
              </w:numPr>
            </w:pPr>
            <w:hyperlink r:id="rId20" w:history="1">
              <w:r w:rsidR="003E3DAC">
                <w:rPr>
                  <w:rStyle w:val="Hyperlink"/>
                </w:rPr>
                <w:t>RROF and Certification (Form HUD 7015.15)</w:t>
              </w:r>
            </w:hyperlink>
            <w:r w:rsidR="003E3DAC">
              <w:t xml:space="preserve"> </w:t>
            </w:r>
          </w:p>
          <w:p w14:paraId="1A618847" w14:textId="77777777" w:rsidR="003E3DAC" w:rsidRDefault="00906CE5" w:rsidP="006978DA">
            <w:pPr>
              <w:pStyle w:val="ListParagraph"/>
              <w:numPr>
                <w:ilvl w:val="0"/>
                <w:numId w:val="46"/>
              </w:numPr>
            </w:pPr>
            <w:hyperlink r:id="rId21" w:history="1">
              <w:r w:rsidR="003E3DAC" w:rsidRPr="0019102D">
                <w:rPr>
                  <w:rStyle w:val="Hyperlink"/>
                </w:rPr>
                <w:t>Authority to Use Grant Funds (Form HUD 7015.16)</w:t>
              </w:r>
            </w:hyperlink>
          </w:p>
          <w:p w14:paraId="4B375CE5" w14:textId="77777777" w:rsidR="00636495" w:rsidRDefault="007E586F" w:rsidP="006978DA">
            <w:pPr>
              <w:pStyle w:val="ListParagraph"/>
              <w:keepNext/>
              <w:numPr>
                <w:ilvl w:val="0"/>
                <w:numId w:val="46"/>
              </w:numPr>
            </w:pPr>
            <w:r>
              <w:t>NOI/RROF distribution list</w:t>
            </w:r>
          </w:p>
          <w:p w14:paraId="14F3D0BE" w14:textId="1180D8CC" w:rsidR="008D7251" w:rsidRDefault="005534AC" w:rsidP="008D7251">
            <w:pPr>
              <w:pStyle w:val="ListParagraph"/>
              <w:keepNext/>
              <w:numPr>
                <w:ilvl w:val="0"/>
                <w:numId w:val="46"/>
              </w:numPr>
            </w:pPr>
            <w:r>
              <w:t>Other documentation and applicable correspondence</w:t>
            </w:r>
            <w:r w:rsidR="003B032E">
              <w:t xml:space="preserve"> (comments, responses)</w:t>
            </w:r>
          </w:p>
        </w:tc>
      </w:tr>
      <w:tr w:rsidR="00495735" w14:paraId="5E3651C4" w14:textId="77777777" w:rsidTr="007D4F7E">
        <w:tc>
          <w:tcPr>
            <w:tcW w:w="855" w:type="pct"/>
            <w:shd w:val="clear" w:color="auto" w:fill="C5D4D5"/>
          </w:tcPr>
          <w:p w14:paraId="016294D9" w14:textId="77777777" w:rsidR="00495735" w:rsidRPr="006F742A" w:rsidRDefault="00495735" w:rsidP="0020362F">
            <w:pPr>
              <w:keepNext/>
              <w:rPr>
                <w:b/>
              </w:rPr>
            </w:pPr>
            <w:r w:rsidRPr="006F742A">
              <w:rPr>
                <w:b/>
              </w:rPr>
              <w:lastRenderedPageBreak/>
              <w:t>Finding D</w:t>
            </w:r>
          </w:p>
          <w:p w14:paraId="577758DB" w14:textId="77777777" w:rsidR="004F44C7" w:rsidRDefault="004F44C7" w:rsidP="0020362F">
            <w:pPr>
              <w:keepNext/>
            </w:pPr>
            <w:r w:rsidRPr="006E073C">
              <w:t xml:space="preserve">24 CFR </w:t>
            </w:r>
          </w:p>
          <w:p w14:paraId="1898B948" w14:textId="05B9EE0A" w:rsidR="004F44C7" w:rsidRPr="006E073C" w:rsidRDefault="004F44C7" w:rsidP="0020362F">
            <w:pPr>
              <w:keepNext/>
            </w:pPr>
            <w:r w:rsidRPr="006E073C">
              <w:t>§ 58.3</w:t>
            </w:r>
            <w:r>
              <w:t>6</w:t>
            </w:r>
          </w:p>
          <w:p w14:paraId="77A8F517" w14:textId="77777777" w:rsidR="00D9442D" w:rsidRDefault="00D9442D" w:rsidP="0020362F">
            <w:pPr>
              <w:keepNext/>
            </w:pPr>
          </w:p>
          <w:p w14:paraId="38425BB1" w14:textId="47160A53" w:rsidR="00D9442D" w:rsidRPr="00D01682" w:rsidRDefault="004E785D" w:rsidP="0020362F">
            <w:pPr>
              <w:keepNext/>
              <w:rPr>
                <w:i/>
              </w:rPr>
            </w:pPr>
            <w:r w:rsidRPr="00D01682">
              <w:rPr>
                <w:i/>
              </w:rPr>
              <w:t xml:space="preserve">EX: </w:t>
            </w:r>
            <w:r w:rsidR="00D9442D" w:rsidRPr="00D01682">
              <w:rPr>
                <w:i/>
              </w:rPr>
              <w:t>M</w:t>
            </w:r>
            <w:r w:rsidR="000750ED">
              <w:rPr>
                <w:i/>
              </w:rPr>
              <w:t xml:space="preserve">ulti- and </w:t>
            </w:r>
            <w:r w:rsidR="00D9442D" w:rsidRPr="00D01682">
              <w:rPr>
                <w:i/>
              </w:rPr>
              <w:t>S</w:t>
            </w:r>
            <w:r w:rsidR="000750ED">
              <w:rPr>
                <w:i/>
              </w:rPr>
              <w:t>ingle-</w:t>
            </w:r>
            <w:r w:rsidR="00D9442D" w:rsidRPr="00D01682">
              <w:rPr>
                <w:i/>
              </w:rPr>
              <w:t>F</w:t>
            </w:r>
            <w:r w:rsidR="000750ED">
              <w:rPr>
                <w:i/>
              </w:rPr>
              <w:t>amily</w:t>
            </w:r>
            <w:r w:rsidR="00D9442D" w:rsidRPr="00D01682">
              <w:rPr>
                <w:i/>
              </w:rPr>
              <w:t xml:space="preserve"> New Const</w:t>
            </w:r>
            <w:r w:rsidR="000750ED">
              <w:rPr>
                <w:i/>
              </w:rPr>
              <w:t>ruction and</w:t>
            </w:r>
            <w:r w:rsidR="00D9442D" w:rsidRPr="00D01682">
              <w:rPr>
                <w:i/>
              </w:rPr>
              <w:t xml:space="preserve"> Rehab</w:t>
            </w:r>
            <w:r w:rsidR="000750ED">
              <w:rPr>
                <w:i/>
              </w:rPr>
              <w:t>ilitation</w:t>
            </w:r>
            <w:r w:rsidR="00D9442D" w:rsidRPr="00D01682">
              <w:rPr>
                <w:i/>
              </w:rPr>
              <w:t xml:space="preserve"> (Significant)</w:t>
            </w:r>
          </w:p>
        </w:tc>
        <w:tc>
          <w:tcPr>
            <w:tcW w:w="4145" w:type="pct"/>
          </w:tcPr>
          <w:p w14:paraId="7C6E8DE9" w14:textId="5970DA3A" w:rsidR="00CC7C7C" w:rsidRPr="00CC7C7C" w:rsidRDefault="00CC7C7C" w:rsidP="00734BC6">
            <w:pPr>
              <w:rPr>
                <w:b/>
                <w:color w:val="6E9699"/>
              </w:rPr>
            </w:pPr>
            <w:r w:rsidRPr="00CC7C7C">
              <w:rPr>
                <w:b/>
                <w:color w:val="6E9699"/>
              </w:rPr>
              <w:t>ENVIRONMENTAL ASSESSMENT</w:t>
            </w:r>
            <w:r w:rsidR="00B2223F">
              <w:rPr>
                <w:b/>
                <w:color w:val="6E9699"/>
              </w:rPr>
              <w:t xml:space="preserve"> (FINDING OF NO SIGNIFICANT IMPACT)</w:t>
            </w:r>
          </w:p>
          <w:p w14:paraId="52BC22B0" w14:textId="63818F97" w:rsidR="00495735" w:rsidRPr="005E2B08" w:rsidRDefault="00495735" w:rsidP="00734BC6">
            <w:pPr>
              <w:rPr>
                <w:b/>
              </w:rPr>
            </w:pPr>
            <w:r w:rsidRPr="005E2B08">
              <w:rPr>
                <w:b/>
              </w:rPr>
              <w:t>Preparation of an environmental assessment (EA) is necessary and a Finding of No Significant Impact (FONSI) is required</w:t>
            </w:r>
          </w:p>
          <w:p w14:paraId="12B9C855" w14:textId="77777777" w:rsidR="00E009DC" w:rsidRDefault="00E009DC" w:rsidP="00EA3BDA">
            <w:pPr>
              <w:pStyle w:val="ListParagraph"/>
              <w:numPr>
                <w:ilvl w:val="0"/>
                <w:numId w:val="45"/>
              </w:numPr>
            </w:pPr>
            <w:r>
              <w:t>Document compliance with the following requirements (</w:t>
            </w:r>
            <w:r w:rsidRPr="00D75E7C">
              <w:t>§</w:t>
            </w:r>
            <w:r>
              <w:t xml:space="preserve"> 58.6):</w:t>
            </w:r>
          </w:p>
          <w:p w14:paraId="7C472DA2" w14:textId="77777777" w:rsidR="00E009DC" w:rsidRDefault="00E009DC" w:rsidP="00EA3BDA">
            <w:pPr>
              <w:pStyle w:val="ListParagraph"/>
              <w:numPr>
                <w:ilvl w:val="1"/>
                <w:numId w:val="45"/>
              </w:numPr>
            </w:pPr>
            <w:r>
              <w:t>Federal Emergency Management Agency (FEMA) Flood Hazards</w:t>
            </w:r>
          </w:p>
          <w:p w14:paraId="51AE8800" w14:textId="77777777" w:rsidR="00E009DC" w:rsidRDefault="00E009DC" w:rsidP="00EA3BDA">
            <w:pPr>
              <w:pStyle w:val="ListParagraph"/>
              <w:numPr>
                <w:ilvl w:val="1"/>
                <w:numId w:val="45"/>
              </w:numPr>
            </w:pPr>
            <w:r>
              <w:t>Coastal Barrier Resources</w:t>
            </w:r>
          </w:p>
          <w:p w14:paraId="2FA4546C" w14:textId="77777777" w:rsidR="00E009DC" w:rsidRDefault="00E009DC" w:rsidP="00EA3BDA">
            <w:pPr>
              <w:pStyle w:val="ListParagraph"/>
              <w:numPr>
                <w:ilvl w:val="1"/>
                <w:numId w:val="45"/>
              </w:numPr>
            </w:pPr>
            <w:r>
              <w:t>Airport Runway Clear Zones or Clear Zones</w:t>
            </w:r>
          </w:p>
          <w:p w14:paraId="64588CFF" w14:textId="3C8B63CE" w:rsidR="00086E3C" w:rsidRDefault="0045031A" w:rsidP="00EA3BDA">
            <w:pPr>
              <w:pStyle w:val="ListParagraph"/>
              <w:numPr>
                <w:ilvl w:val="0"/>
                <w:numId w:val="45"/>
              </w:numPr>
            </w:pPr>
            <w:r>
              <w:t>Complete the Statutory Checklist (</w:t>
            </w:r>
            <w:r w:rsidRPr="005D6534">
              <w:t>§ 58.5</w:t>
            </w:r>
            <w:r>
              <w:t>)</w:t>
            </w:r>
            <w:r w:rsidR="00897D9B">
              <w:t xml:space="preserve"> and p</w:t>
            </w:r>
            <w:r w:rsidR="00086E3C">
              <w:t xml:space="preserve">repare an </w:t>
            </w:r>
            <w:r w:rsidR="000B5EA7">
              <w:t>Environmental Assessment (</w:t>
            </w:r>
            <w:r w:rsidR="00086E3C">
              <w:t>EA</w:t>
            </w:r>
            <w:r w:rsidR="000B5EA7">
              <w:t>)</w:t>
            </w:r>
            <w:r w:rsidR="00086E3C">
              <w:t xml:space="preserve"> </w:t>
            </w:r>
            <w:r w:rsidR="00F4561B">
              <w:t>(</w:t>
            </w:r>
            <w:r>
              <w:t xml:space="preserve">HUD </w:t>
            </w:r>
            <w:r w:rsidR="00F4561B">
              <w:t xml:space="preserve">form) </w:t>
            </w:r>
            <w:r w:rsidR="00086E3C">
              <w:t>with a Finding of No Significant Impact (FONSI)</w:t>
            </w:r>
            <w:r w:rsidR="00897D9B" w:rsidRPr="00897D9B">
              <w:rPr>
                <w:vertAlign w:val="superscript"/>
              </w:rPr>
              <w:t>3</w:t>
            </w:r>
          </w:p>
          <w:p w14:paraId="41FA79DC" w14:textId="12822DD5" w:rsidR="00086E3C" w:rsidRDefault="00086E3C" w:rsidP="00EA3BDA">
            <w:pPr>
              <w:pStyle w:val="ListParagraph"/>
              <w:numPr>
                <w:ilvl w:val="0"/>
                <w:numId w:val="45"/>
              </w:numPr>
            </w:pPr>
            <w:r>
              <w:t xml:space="preserve">Prepare a </w:t>
            </w:r>
            <w:r w:rsidR="005A5020">
              <w:t xml:space="preserve">Finding of No Significant Impact </w:t>
            </w:r>
            <w:r w:rsidR="00021D79">
              <w:t xml:space="preserve">and </w:t>
            </w:r>
            <w:r w:rsidR="005A5020">
              <w:t xml:space="preserve">Notice of Intent </w:t>
            </w:r>
            <w:r w:rsidR="00544982">
              <w:t xml:space="preserve">to </w:t>
            </w:r>
            <w:r w:rsidR="005A5020">
              <w:t>Request Release of Funds (F</w:t>
            </w:r>
            <w:r>
              <w:t>ONSI/NOI/</w:t>
            </w:r>
            <w:proofErr w:type="gramStart"/>
            <w:r>
              <w:t>RROF</w:t>
            </w:r>
            <w:r w:rsidR="005A5020">
              <w:t>)</w:t>
            </w:r>
            <w:r w:rsidR="001647AF">
              <w:t>*</w:t>
            </w:r>
            <w:proofErr w:type="gramEnd"/>
          </w:p>
          <w:p w14:paraId="70BEFF7D" w14:textId="42CF9908" w:rsidR="000B5EA7" w:rsidRDefault="00086E3C" w:rsidP="00EA3BDA">
            <w:pPr>
              <w:pStyle w:val="ListParagraph"/>
              <w:numPr>
                <w:ilvl w:val="0"/>
                <w:numId w:val="45"/>
              </w:numPr>
            </w:pPr>
            <w:r>
              <w:t xml:space="preserve">Submit </w:t>
            </w:r>
            <w:r w:rsidR="00A77C91">
              <w:t xml:space="preserve">RROF and Certification to </w:t>
            </w:r>
            <w:r w:rsidR="003250FD">
              <w:t>Commerce</w:t>
            </w:r>
            <w:r w:rsidR="00A77C91">
              <w:t xml:space="preserve"> o</w:t>
            </w:r>
            <w:r w:rsidR="000B5EA7">
              <w:t>r</w:t>
            </w:r>
            <w:r w:rsidR="00A77C91">
              <w:t xml:space="preserve"> HUD as applicable</w:t>
            </w:r>
            <w:r w:rsidR="001647AF">
              <w:t>*</w:t>
            </w:r>
          </w:p>
          <w:p w14:paraId="37741800" w14:textId="77777777" w:rsidR="005E2B08" w:rsidRDefault="005E2B08" w:rsidP="00734BC6">
            <w:r>
              <w:t>Environmental Review Record Requirements:</w:t>
            </w:r>
          </w:p>
          <w:p w14:paraId="184CA9CA" w14:textId="11242CF0" w:rsidR="00F4561B" w:rsidRDefault="005E2B08" w:rsidP="00EA3BDA">
            <w:pPr>
              <w:pStyle w:val="ListParagraph"/>
              <w:numPr>
                <w:ilvl w:val="0"/>
                <w:numId w:val="45"/>
              </w:numPr>
            </w:pPr>
            <w:r>
              <w:t xml:space="preserve">Designation by adopted resolution of </w:t>
            </w:r>
            <w:r w:rsidR="002A200B">
              <w:t>ECO</w:t>
            </w:r>
            <w:r w:rsidR="0045031A" w:rsidRPr="0045031A">
              <w:rPr>
                <w:vertAlign w:val="superscript"/>
              </w:rPr>
              <w:t>2</w:t>
            </w:r>
          </w:p>
          <w:p w14:paraId="199BEE3C" w14:textId="3C516686" w:rsidR="00C9694C" w:rsidRDefault="00906CE5" w:rsidP="00EA3BDA">
            <w:pPr>
              <w:pStyle w:val="ListParagraph"/>
              <w:keepNext/>
              <w:numPr>
                <w:ilvl w:val="0"/>
                <w:numId w:val="45"/>
              </w:numPr>
            </w:pPr>
            <w:hyperlink r:id="rId22" w:history="1">
              <w:r w:rsidR="006175C7" w:rsidRPr="00EA3BDA">
                <w:rPr>
                  <w:rStyle w:val="Hyperlink"/>
                  <w:b/>
                  <w:bCs/>
                </w:rPr>
                <w:t>HUD Form: Environmental Assessment Determinations and Compliance Findings</w:t>
              </w:r>
            </w:hyperlink>
            <w:r w:rsidR="00E21C7F">
              <w:rPr>
                <w:rStyle w:val="FootnoteReference"/>
              </w:rPr>
              <w:footnoteReference w:id="3"/>
            </w:r>
            <w:r w:rsidR="00E21C7F">
              <w:t xml:space="preserve"> (This shows compliance with </w:t>
            </w:r>
            <w:r w:rsidR="00E21C7F" w:rsidRPr="00D75E7C">
              <w:t>§</w:t>
            </w:r>
            <w:r w:rsidR="00E21C7F">
              <w:t xml:space="preserve"> 58.6, includes the Statutory Checklist for requirements at </w:t>
            </w:r>
            <w:r w:rsidR="00E21C7F" w:rsidRPr="005D6534">
              <w:t>§ 58.5</w:t>
            </w:r>
            <w:r w:rsidR="00E21C7F">
              <w:t xml:space="preserve">, and documents a Finding of </w:t>
            </w:r>
            <w:r w:rsidR="006175C7">
              <w:t>No Significant Impact</w:t>
            </w:r>
            <w:r w:rsidR="00E21C7F">
              <w:t xml:space="preserve"> “</w:t>
            </w:r>
            <w:r w:rsidR="006175C7">
              <w:t>FONSI</w:t>
            </w:r>
            <w:r w:rsidR="00E21C7F">
              <w:t>”)</w:t>
            </w:r>
            <w:r w:rsidR="00897D9B">
              <w:t xml:space="preserve"> </w:t>
            </w:r>
          </w:p>
          <w:p w14:paraId="65FE9EDE" w14:textId="77777777" w:rsidR="00EA3BDA" w:rsidRDefault="00906CE5" w:rsidP="00EA3BDA">
            <w:pPr>
              <w:pStyle w:val="ListParagraph"/>
              <w:keepNext/>
            </w:pPr>
            <w:hyperlink r:id="rId23" w:history="1">
              <w:r w:rsidR="00EA3BDA" w:rsidRPr="00F173DE">
                <w:rPr>
                  <w:rStyle w:val="Hyperlink"/>
                </w:rPr>
                <w:t>Documentation showing compliance with related laws and authorities</w:t>
              </w:r>
            </w:hyperlink>
            <w:r w:rsidR="00EA3BDA">
              <w:t>, including but not limited to:</w:t>
            </w:r>
          </w:p>
          <w:p w14:paraId="74219E43" w14:textId="1D2DEE44" w:rsidR="00EA3BDA" w:rsidRDefault="00906CE5" w:rsidP="00EA3BDA">
            <w:pPr>
              <w:pStyle w:val="ListParagraph"/>
              <w:keepNext/>
              <w:numPr>
                <w:ilvl w:val="1"/>
                <w:numId w:val="45"/>
              </w:numPr>
            </w:pPr>
            <w:hyperlink r:id="rId24" w:history="1">
              <w:r w:rsidR="00EA3BDA" w:rsidRPr="008D7251">
                <w:rPr>
                  <w:rStyle w:val="Hyperlink"/>
                </w:rPr>
                <w:t>Explosive and flammable facilities</w:t>
              </w:r>
            </w:hyperlink>
            <w:r w:rsidR="00EA3BDA">
              <w:t xml:space="preserve"> documentation/worksheet and, if needed, </w:t>
            </w:r>
            <w:hyperlink r:id="rId25" w:history="1">
              <w:r w:rsidR="00EA3BDA">
                <w:rPr>
                  <w:rStyle w:val="Hyperlink"/>
                </w:rPr>
                <w:t xml:space="preserve">Acceptable Separation Distance </w:t>
              </w:r>
              <w:r w:rsidR="0020362F">
                <w:rPr>
                  <w:rStyle w:val="Hyperlink"/>
                </w:rPr>
                <w:t>“</w:t>
              </w:r>
              <w:r w:rsidR="00EA3BDA">
                <w:rPr>
                  <w:rStyle w:val="Hyperlink"/>
                </w:rPr>
                <w:t>ASD</w:t>
              </w:r>
              <w:r w:rsidR="0020362F">
                <w:rPr>
                  <w:rStyle w:val="Hyperlink"/>
                </w:rPr>
                <w:t>”</w:t>
              </w:r>
            </w:hyperlink>
            <w:r w:rsidR="00EA3BDA">
              <w:t xml:space="preserve"> calculation (as applicable by project)</w:t>
            </w:r>
          </w:p>
          <w:p w14:paraId="48C15498" w14:textId="77777777" w:rsidR="00EA3BDA" w:rsidRDefault="00906CE5" w:rsidP="00EA3BDA">
            <w:pPr>
              <w:pStyle w:val="ListParagraph"/>
              <w:keepNext/>
              <w:numPr>
                <w:ilvl w:val="1"/>
                <w:numId w:val="45"/>
              </w:numPr>
            </w:pPr>
            <w:hyperlink r:id="rId26" w:history="1">
              <w:r w:rsidR="00EA3BDA" w:rsidRPr="006978DA">
                <w:rPr>
                  <w:rStyle w:val="Hyperlink"/>
                </w:rPr>
                <w:t>Noise abatement and control</w:t>
              </w:r>
            </w:hyperlink>
            <w:r w:rsidR="00EA3BDA">
              <w:t xml:space="preserve"> documentation/worksheet and, if needed, </w:t>
            </w:r>
            <w:hyperlink r:id="rId27" w:history="1">
              <w:r w:rsidR="00EA3BDA" w:rsidRPr="006978DA">
                <w:rPr>
                  <w:rStyle w:val="Hyperlink"/>
                </w:rPr>
                <w:t>Day/Night Noise Level “DNL”</w:t>
              </w:r>
            </w:hyperlink>
            <w:r w:rsidR="00EA3BDA">
              <w:t xml:space="preserve"> calculation (as applicable by project)</w:t>
            </w:r>
          </w:p>
          <w:p w14:paraId="3BD7268F" w14:textId="77777777" w:rsidR="00EA3BDA" w:rsidRDefault="00906CE5" w:rsidP="00EA3BDA">
            <w:pPr>
              <w:pStyle w:val="ListParagraph"/>
              <w:keepNext/>
              <w:numPr>
                <w:ilvl w:val="1"/>
                <w:numId w:val="45"/>
              </w:numPr>
            </w:pPr>
            <w:hyperlink r:id="rId28" w:history="1">
              <w:r w:rsidR="00EA3BDA">
                <w:rPr>
                  <w:rStyle w:val="Hyperlink"/>
                </w:rPr>
                <w:t>Floodplain management eight-step decision making process</w:t>
              </w:r>
            </w:hyperlink>
            <w:r w:rsidR="00EA3BDA">
              <w:t xml:space="preserve"> documentation/worksheet (as applicable by project)</w:t>
            </w:r>
          </w:p>
          <w:p w14:paraId="47EEFF89" w14:textId="77777777" w:rsidR="00EA3BDA" w:rsidRDefault="00906CE5" w:rsidP="00EA3BDA">
            <w:pPr>
              <w:pStyle w:val="ListParagraph"/>
              <w:keepNext/>
              <w:numPr>
                <w:ilvl w:val="1"/>
                <w:numId w:val="45"/>
              </w:numPr>
            </w:pPr>
            <w:hyperlink r:id="rId29" w:history="1">
              <w:r w:rsidR="00EA3BDA">
                <w:rPr>
                  <w:rStyle w:val="Hyperlink"/>
                </w:rPr>
                <w:t>Early public notice for activities in 100-/500-year floodplain or wetland</w:t>
              </w:r>
            </w:hyperlink>
            <w:r w:rsidR="00EA3BDA">
              <w:t xml:space="preserve"> (as applicable by project)</w:t>
            </w:r>
          </w:p>
          <w:p w14:paraId="19D6F195" w14:textId="2A54ACFF" w:rsidR="00EA3BDA" w:rsidRDefault="00906CE5" w:rsidP="00EA3BDA">
            <w:pPr>
              <w:pStyle w:val="ListParagraph"/>
              <w:keepNext/>
              <w:numPr>
                <w:ilvl w:val="1"/>
                <w:numId w:val="45"/>
              </w:numPr>
            </w:pPr>
            <w:hyperlink r:id="rId30" w:history="1">
              <w:r w:rsidR="00EA3BDA" w:rsidRPr="00B56C8C">
                <w:rPr>
                  <w:rStyle w:val="Hyperlink"/>
                </w:rPr>
                <w:t>Final notice and public explanation for activities in a 100-/500-year floodplain or wetland</w:t>
              </w:r>
            </w:hyperlink>
            <w:r w:rsidR="00EA3BDA">
              <w:t xml:space="preserve"> (as applicable by project)</w:t>
            </w:r>
          </w:p>
          <w:p w14:paraId="474A0080" w14:textId="5F862E27" w:rsidR="009977B7" w:rsidRDefault="00906CE5" w:rsidP="00EA3BDA">
            <w:pPr>
              <w:pStyle w:val="ListParagraph"/>
              <w:numPr>
                <w:ilvl w:val="0"/>
                <w:numId w:val="45"/>
              </w:numPr>
            </w:pPr>
            <w:hyperlink r:id="rId31" w:history="1">
              <w:r w:rsidR="005E2B08" w:rsidRPr="009977B7">
                <w:rPr>
                  <w:rStyle w:val="Hyperlink"/>
                </w:rPr>
                <w:t>FONSI/NOI/RROF</w:t>
              </w:r>
            </w:hyperlink>
            <w:r w:rsidR="00DB520D">
              <w:t xml:space="preserve"> and proof of publication</w:t>
            </w:r>
          </w:p>
          <w:p w14:paraId="189C1C43" w14:textId="42187E5A" w:rsidR="00EC6064" w:rsidRDefault="00906CE5" w:rsidP="00EA3BDA">
            <w:pPr>
              <w:pStyle w:val="ListParagraph"/>
              <w:numPr>
                <w:ilvl w:val="0"/>
                <w:numId w:val="45"/>
              </w:numPr>
            </w:pPr>
            <w:hyperlink r:id="rId32" w:history="1">
              <w:r w:rsidR="00EC6064">
                <w:rPr>
                  <w:rStyle w:val="Hyperlink"/>
                </w:rPr>
                <w:t>RROF and Certification (Form HUD 7015.15)</w:t>
              </w:r>
            </w:hyperlink>
            <w:r w:rsidR="00E8702C">
              <w:t xml:space="preserve"> </w:t>
            </w:r>
          </w:p>
          <w:p w14:paraId="6BA44947" w14:textId="66F0F3B8" w:rsidR="00EC6064" w:rsidRDefault="00906CE5" w:rsidP="00EA3BDA">
            <w:pPr>
              <w:pStyle w:val="ListParagraph"/>
              <w:numPr>
                <w:ilvl w:val="0"/>
                <w:numId w:val="45"/>
              </w:numPr>
            </w:pPr>
            <w:hyperlink r:id="rId33" w:history="1">
              <w:r w:rsidR="0019102D" w:rsidRPr="0019102D">
                <w:rPr>
                  <w:rStyle w:val="Hyperlink"/>
                </w:rPr>
                <w:t>Authority to Use Grant Funds (Form HUD 7015.16)</w:t>
              </w:r>
            </w:hyperlink>
          </w:p>
          <w:p w14:paraId="6995AF17" w14:textId="77777777" w:rsidR="00F4561B" w:rsidRDefault="00E8702C" w:rsidP="00EA3BDA">
            <w:pPr>
              <w:pStyle w:val="ListParagraph"/>
              <w:numPr>
                <w:ilvl w:val="0"/>
                <w:numId w:val="45"/>
              </w:numPr>
            </w:pPr>
            <w:r>
              <w:t>FONSI/NOI/RROF distribution list</w:t>
            </w:r>
          </w:p>
          <w:p w14:paraId="64C46A7E" w14:textId="5C80F542" w:rsidR="008D7251" w:rsidRDefault="00830181" w:rsidP="00EA3BDA">
            <w:pPr>
              <w:pStyle w:val="ListParagraph"/>
              <w:numPr>
                <w:ilvl w:val="0"/>
                <w:numId w:val="45"/>
              </w:numPr>
            </w:pPr>
            <w:r>
              <w:t>Other documentation and applicable correspondence (</w:t>
            </w:r>
            <w:r w:rsidR="003D275B">
              <w:t>comments, responses)</w:t>
            </w:r>
          </w:p>
        </w:tc>
      </w:tr>
      <w:tr w:rsidR="00495735" w14:paraId="259458D6" w14:textId="77777777" w:rsidTr="007D4F7E">
        <w:tc>
          <w:tcPr>
            <w:tcW w:w="855" w:type="pct"/>
            <w:shd w:val="clear" w:color="auto" w:fill="C5D4D5"/>
          </w:tcPr>
          <w:p w14:paraId="5DE566B7" w14:textId="77777777" w:rsidR="006F742A" w:rsidRDefault="00495735" w:rsidP="00734BC6">
            <w:pPr>
              <w:rPr>
                <w:b/>
              </w:rPr>
            </w:pPr>
            <w:r w:rsidRPr="006F742A">
              <w:rPr>
                <w:b/>
              </w:rPr>
              <w:t>Finding E</w:t>
            </w:r>
          </w:p>
          <w:p w14:paraId="44A2731D" w14:textId="77777777" w:rsidR="004F44C7" w:rsidRDefault="004F44C7" w:rsidP="00734BC6">
            <w:r w:rsidRPr="006E073C">
              <w:t xml:space="preserve">24 CFR </w:t>
            </w:r>
          </w:p>
          <w:p w14:paraId="5263BF6E" w14:textId="051A63BE" w:rsidR="004F44C7" w:rsidRPr="004F44C7" w:rsidRDefault="004F44C7" w:rsidP="00734BC6">
            <w:r w:rsidRPr="006E073C">
              <w:t>§ 58.3</w:t>
            </w:r>
            <w:r>
              <w:t>7</w:t>
            </w:r>
          </w:p>
        </w:tc>
        <w:tc>
          <w:tcPr>
            <w:tcW w:w="4145" w:type="pct"/>
          </w:tcPr>
          <w:p w14:paraId="514594B6" w14:textId="4536A2FD" w:rsidR="00CC7C7C" w:rsidRPr="00CC7C7C" w:rsidRDefault="00CC7C7C" w:rsidP="00734BC6">
            <w:pPr>
              <w:rPr>
                <w:b/>
                <w:color w:val="6E9699"/>
              </w:rPr>
            </w:pPr>
            <w:r w:rsidRPr="00CC7C7C">
              <w:rPr>
                <w:b/>
                <w:color w:val="6E9699"/>
              </w:rPr>
              <w:t>ENVIRONMENTAL ASSESSMENT (FINDING OF SIGNIFICANT IMPACT)</w:t>
            </w:r>
          </w:p>
          <w:p w14:paraId="5302F021" w14:textId="70ED0E2C" w:rsidR="00495735" w:rsidRPr="00232227" w:rsidRDefault="00495735" w:rsidP="00734BC6">
            <w:pPr>
              <w:rPr>
                <w:b/>
              </w:rPr>
            </w:pPr>
            <w:r w:rsidRPr="00232227">
              <w:rPr>
                <w:b/>
              </w:rPr>
              <w:t xml:space="preserve">Preparation of an environmental assessment (EA) is </w:t>
            </w:r>
            <w:proofErr w:type="gramStart"/>
            <w:r w:rsidRPr="00232227">
              <w:rPr>
                <w:b/>
              </w:rPr>
              <w:t>necessary</w:t>
            </w:r>
            <w:proofErr w:type="gramEnd"/>
            <w:r w:rsidRPr="00232227">
              <w:rPr>
                <w:b/>
              </w:rPr>
              <w:t xml:space="preserve"> and a Finding of Significant Impact is required</w:t>
            </w:r>
            <w:r w:rsidR="006E073C">
              <w:rPr>
                <w:b/>
              </w:rPr>
              <w:t xml:space="preserve"> </w:t>
            </w:r>
            <w:r w:rsidR="006E073C" w:rsidRPr="006E073C">
              <w:rPr>
                <w:i/>
              </w:rPr>
              <w:t>(Not Likely)</w:t>
            </w:r>
          </w:p>
          <w:p w14:paraId="57B3BE32" w14:textId="30B38043" w:rsidR="00B624E1" w:rsidRDefault="00B624E1" w:rsidP="00734BC6">
            <w:pPr>
              <w:pStyle w:val="ListParagraph"/>
              <w:numPr>
                <w:ilvl w:val="0"/>
                <w:numId w:val="21"/>
              </w:numPr>
            </w:pPr>
            <w:r>
              <w:t xml:space="preserve">Consult with </w:t>
            </w:r>
            <w:r w:rsidR="003250FD">
              <w:t>Commerce</w:t>
            </w:r>
            <w:r>
              <w:t xml:space="preserve"> for further action</w:t>
            </w:r>
          </w:p>
        </w:tc>
      </w:tr>
    </w:tbl>
    <w:p w14:paraId="3C11B76A" w14:textId="77777777" w:rsidR="0020362F" w:rsidRDefault="0020362F" w:rsidP="007B1F98"/>
    <w:p w14:paraId="40A8A3EC" w14:textId="3DE60319" w:rsidR="007B1F98" w:rsidRDefault="00AD0930" w:rsidP="007B1F98">
      <w:r>
        <w:t>*</w:t>
      </w:r>
      <w:r w:rsidR="00021D79">
        <w:t>T</w:t>
      </w:r>
      <w:r w:rsidR="00F81B91">
        <w:t xml:space="preserve">he </w:t>
      </w:r>
      <w:r w:rsidR="007F2EE7">
        <w:t xml:space="preserve">grant recipient or </w:t>
      </w:r>
      <w:r w:rsidR="003250FD">
        <w:t>Commerce</w:t>
      </w:r>
      <w:r w:rsidR="007F2EE7">
        <w:t xml:space="preserve"> (as applicable) must allow for a</w:t>
      </w:r>
      <w:r w:rsidR="00060CF1">
        <w:t>n initial</w:t>
      </w:r>
      <w:r w:rsidR="007F2EE7">
        <w:t xml:space="preserve"> minimum 7- </w:t>
      </w:r>
      <w:r w:rsidR="00060CF1">
        <w:t>or</w:t>
      </w:r>
      <w:r w:rsidR="004D218C">
        <w:t xml:space="preserve"> 15-day </w:t>
      </w:r>
      <w:r w:rsidR="007F2EE7">
        <w:t>public comment period</w:t>
      </w:r>
      <w:r w:rsidR="004D218C">
        <w:t xml:space="preserve"> for NOI/RROF</w:t>
      </w:r>
      <w:r w:rsidR="003E4D88">
        <w:t>s</w:t>
      </w:r>
      <w:r w:rsidR="004D218C">
        <w:t xml:space="preserve"> and FONSI/NOI/RROFs, respectively</w:t>
      </w:r>
      <w:r w:rsidR="007F2EE7">
        <w:t xml:space="preserve">, and </w:t>
      </w:r>
      <w:r w:rsidR="003250FD">
        <w:t>Commerce</w:t>
      </w:r>
      <w:r w:rsidR="007B1F98">
        <w:t xml:space="preserve"> </w:t>
      </w:r>
      <w:r w:rsidR="007F2EE7">
        <w:t xml:space="preserve">or HUD (as </w:t>
      </w:r>
      <w:r w:rsidR="007F2EE7">
        <w:lastRenderedPageBreak/>
        <w:t xml:space="preserve">applicable) </w:t>
      </w:r>
      <w:r w:rsidR="007B1F98">
        <w:t xml:space="preserve">must wait a minimum of 15 calendar days after receipt of the RROF for public comment prior to </w:t>
      </w:r>
      <w:r w:rsidR="00906D9E">
        <w:t>r</w:t>
      </w:r>
      <w:r w:rsidR="007B1F98">
        <w:t>eleas</w:t>
      </w:r>
      <w:r w:rsidR="00906D9E">
        <w:t>ing</w:t>
      </w:r>
      <w:r w:rsidR="007B1F98">
        <w:t xml:space="preserve"> funds. </w:t>
      </w:r>
      <w:r w:rsidR="004D218C">
        <w:t>S</w:t>
      </w:r>
      <w:r w:rsidR="007B1F98">
        <w:t>ample timeline</w:t>
      </w:r>
      <w:r w:rsidR="004D218C">
        <w:t>s</w:t>
      </w:r>
      <w:r w:rsidR="007B1F98">
        <w:t xml:space="preserve"> illustrating minimum calendar periods for publication and public comment </w:t>
      </w:r>
      <w:r w:rsidR="004D218C">
        <w:t>are</w:t>
      </w:r>
      <w:r w:rsidR="007B1F98">
        <w:t xml:space="preserve"> included below</w:t>
      </w:r>
      <w:r w:rsidR="007F2EE7">
        <w:t>.</w:t>
      </w:r>
    </w:p>
    <w:p w14:paraId="6BFF1838" w14:textId="77777777" w:rsidR="007B1F98" w:rsidRDefault="007B1F98" w:rsidP="007B1F98"/>
    <w:p w14:paraId="056D50A1" w14:textId="1727047C" w:rsidR="007B1F98" w:rsidRDefault="007B1F98" w:rsidP="007B1F98">
      <w:r>
        <w:t>March 15, 20__</w:t>
      </w:r>
      <w:r>
        <w:tab/>
      </w:r>
      <w:r w:rsidR="00734BA8">
        <w:tab/>
      </w:r>
      <w:r w:rsidR="00544943">
        <w:tab/>
      </w:r>
      <w:r w:rsidR="00997D0C">
        <w:t>P</w:t>
      </w:r>
      <w:r>
        <w:t xml:space="preserve">ublication </w:t>
      </w:r>
      <w:r w:rsidR="00F931CF">
        <w:t xml:space="preserve">and distribution </w:t>
      </w:r>
      <w:r>
        <w:t xml:space="preserve">of </w:t>
      </w:r>
      <w:r w:rsidRPr="00702BB4">
        <w:rPr>
          <w:b/>
        </w:rPr>
        <w:t>NOI/RROF</w:t>
      </w:r>
    </w:p>
    <w:p w14:paraId="17607A0A" w14:textId="4EE3BFE5" w:rsidR="007B1F98" w:rsidRDefault="007B1F98" w:rsidP="007B1F98">
      <w:r>
        <w:t>March 16-22, 20__</w:t>
      </w:r>
      <w:r>
        <w:tab/>
      </w:r>
      <w:r w:rsidR="00734BA8">
        <w:tab/>
      </w:r>
      <w:r>
        <w:t xml:space="preserve">Minimum </w:t>
      </w:r>
      <w:r w:rsidRPr="00702BB4">
        <w:rPr>
          <w:b/>
        </w:rPr>
        <w:t>7-day</w:t>
      </w:r>
      <w:r>
        <w:t xml:space="preserve"> comment period</w:t>
      </w:r>
    </w:p>
    <w:p w14:paraId="29D62438" w14:textId="112D1D2B" w:rsidR="007B1F98" w:rsidRDefault="007B1F98" w:rsidP="007B1F98">
      <w:r>
        <w:t>March 23, 20__</w:t>
      </w:r>
      <w:r>
        <w:tab/>
      </w:r>
      <w:r w:rsidR="00734BA8">
        <w:tab/>
      </w:r>
      <w:r w:rsidR="00544943">
        <w:tab/>
      </w:r>
      <w:r w:rsidR="004D218C">
        <w:t>Commerce</w:t>
      </w:r>
      <w:r w:rsidR="00997D0C">
        <w:t>/g</w:t>
      </w:r>
      <w:r>
        <w:t xml:space="preserve">rantee </w:t>
      </w:r>
      <w:r w:rsidR="009703E5">
        <w:t>mails</w:t>
      </w:r>
      <w:r>
        <w:t xml:space="preserve"> RROF, allowing </w:t>
      </w:r>
      <w:r w:rsidR="009703E5">
        <w:t>3</w:t>
      </w:r>
      <w:r>
        <w:t xml:space="preserve"> days for delivery</w:t>
      </w:r>
    </w:p>
    <w:p w14:paraId="646B4120" w14:textId="35D7FBF2" w:rsidR="007B1F98" w:rsidRDefault="007B1F98" w:rsidP="007B1F98">
      <w:r>
        <w:t>March 2</w:t>
      </w:r>
      <w:r w:rsidR="00C56074">
        <w:t>5</w:t>
      </w:r>
      <w:r>
        <w:t>, 20__</w:t>
      </w:r>
      <w:r>
        <w:tab/>
      </w:r>
      <w:r w:rsidR="00734BA8">
        <w:tab/>
      </w:r>
      <w:r w:rsidR="00544943">
        <w:tab/>
      </w:r>
      <w:r w:rsidR="004D218C">
        <w:t>Commerce</w:t>
      </w:r>
      <w:r w:rsidR="009703E5">
        <w:t>/HUD</w:t>
      </w:r>
      <w:r>
        <w:t xml:space="preserve"> receives RROF</w:t>
      </w:r>
      <w:r w:rsidR="00C56074">
        <w:t xml:space="preserve"> (transmittal)</w:t>
      </w:r>
    </w:p>
    <w:p w14:paraId="1A68A528" w14:textId="5006D5C3" w:rsidR="007B1F98" w:rsidRDefault="007B1F98" w:rsidP="007B1F98">
      <w:r>
        <w:t>March 2</w:t>
      </w:r>
      <w:r w:rsidR="00C56074">
        <w:t>6</w:t>
      </w:r>
      <w:r>
        <w:t xml:space="preserve">-April </w:t>
      </w:r>
      <w:r w:rsidR="00C56074">
        <w:t>9</w:t>
      </w:r>
      <w:r>
        <w:t>, 20__</w:t>
      </w:r>
      <w:r>
        <w:tab/>
      </w:r>
      <w:r w:rsidR="00544943">
        <w:tab/>
      </w:r>
      <w:r w:rsidR="004D218C">
        <w:t>Commerce</w:t>
      </w:r>
      <w:r w:rsidR="009703E5">
        <w:t>/HUD</w:t>
      </w:r>
      <w:r>
        <w:t xml:space="preserve"> 15-day </w:t>
      </w:r>
      <w:r w:rsidR="00B12F0C">
        <w:t>objection</w:t>
      </w:r>
      <w:r>
        <w:t xml:space="preserve"> period</w:t>
      </w:r>
    </w:p>
    <w:p w14:paraId="524F549B" w14:textId="616D0BC2" w:rsidR="007B1F98" w:rsidRDefault="007B1F98" w:rsidP="007B1F98">
      <w:r>
        <w:t>April 1</w:t>
      </w:r>
      <w:r w:rsidR="00C56074">
        <w:t>0</w:t>
      </w:r>
      <w:r>
        <w:t>, 20__</w:t>
      </w:r>
      <w:r>
        <w:tab/>
      </w:r>
      <w:r>
        <w:tab/>
      </w:r>
      <w:r>
        <w:tab/>
      </w:r>
      <w:r w:rsidR="004D218C">
        <w:t>Commerce</w:t>
      </w:r>
      <w:r w:rsidR="009703E5">
        <w:t>/HUD</w:t>
      </w:r>
      <w:r>
        <w:t xml:space="preserve"> release of funds</w:t>
      </w:r>
      <w:r w:rsidR="00C56074">
        <w:t xml:space="preserve"> (earliest date possible)</w:t>
      </w:r>
    </w:p>
    <w:p w14:paraId="6FE5A255" w14:textId="77777777" w:rsidR="00E34877" w:rsidRDefault="00E34877" w:rsidP="004D218C"/>
    <w:p w14:paraId="4B4790AB" w14:textId="0D8985FB" w:rsidR="004D218C" w:rsidRDefault="004D218C" w:rsidP="004D218C">
      <w:r>
        <w:t>March 15, 20__</w:t>
      </w:r>
      <w:r>
        <w:tab/>
      </w:r>
      <w:r>
        <w:tab/>
      </w:r>
      <w:r w:rsidR="00F931CF">
        <w:tab/>
      </w:r>
      <w:r>
        <w:t xml:space="preserve">Publication </w:t>
      </w:r>
      <w:r w:rsidR="00F931CF">
        <w:t xml:space="preserve">and distribution </w:t>
      </w:r>
      <w:r>
        <w:t xml:space="preserve">of </w:t>
      </w:r>
      <w:r w:rsidRPr="00702BB4">
        <w:rPr>
          <w:b/>
        </w:rPr>
        <w:t>FONSI/NOI/RROF</w:t>
      </w:r>
    </w:p>
    <w:p w14:paraId="1385DDE5" w14:textId="488987B5" w:rsidR="004D218C" w:rsidRDefault="004D218C" w:rsidP="004D218C">
      <w:r>
        <w:t>March 16-</w:t>
      </w:r>
      <w:r w:rsidR="008A1193">
        <w:t>30</w:t>
      </w:r>
      <w:r>
        <w:t>, 20__</w:t>
      </w:r>
      <w:r>
        <w:tab/>
      </w:r>
      <w:r>
        <w:tab/>
        <w:t xml:space="preserve">Minimum </w:t>
      </w:r>
      <w:r w:rsidR="00F931CF" w:rsidRPr="00702BB4">
        <w:rPr>
          <w:b/>
        </w:rPr>
        <w:t>15</w:t>
      </w:r>
      <w:r w:rsidRPr="00702BB4">
        <w:rPr>
          <w:b/>
        </w:rPr>
        <w:t>-day</w:t>
      </w:r>
      <w:r>
        <w:t xml:space="preserve"> comment period</w:t>
      </w:r>
    </w:p>
    <w:p w14:paraId="119E51A4" w14:textId="202A1EB8" w:rsidR="004D218C" w:rsidRDefault="004D218C" w:rsidP="004D218C">
      <w:r>
        <w:t xml:space="preserve">March </w:t>
      </w:r>
      <w:r w:rsidR="008A1193">
        <w:t>31</w:t>
      </w:r>
      <w:r>
        <w:t>, 20__</w:t>
      </w:r>
      <w:r>
        <w:tab/>
      </w:r>
      <w:r>
        <w:tab/>
      </w:r>
      <w:r w:rsidR="00F931CF">
        <w:tab/>
      </w:r>
      <w:r>
        <w:t>Commerce/grantee mails RROF, allowing 3 days for delivery</w:t>
      </w:r>
    </w:p>
    <w:p w14:paraId="01AEC3F1" w14:textId="1BA1B529" w:rsidR="004D218C" w:rsidRDefault="008A1193" w:rsidP="004D218C">
      <w:r>
        <w:t>April 2</w:t>
      </w:r>
      <w:r w:rsidR="004D218C">
        <w:t>, 20__</w:t>
      </w:r>
      <w:r w:rsidR="004D218C">
        <w:tab/>
      </w:r>
      <w:r w:rsidR="004D218C">
        <w:tab/>
      </w:r>
      <w:r w:rsidR="00F931CF">
        <w:tab/>
      </w:r>
      <w:r w:rsidR="004D218C">
        <w:t>Commerce/HUD receives RROF</w:t>
      </w:r>
      <w:r w:rsidR="00CD658C">
        <w:t xml:space="preserve"> (transmittal)</w:t>
      </w:r>
    </w:p>
    <w:p w14:paraId="289FB358" w14:textId="12A278D8" w:rsidR="004D218C" w:rsidRDefault="004D218C" w:rsidP="004D218C">
      <w:r>
        <w:t xml:space="preserve">April </w:t>
      </w:r>
      <w:r w:rsidR="008A1193">
        <w:t>3-17</w:t>
      </w:r>
      <w:r>
        <w:t>, 20__</w:t>
      </w:r>
      <w:r>
        <w:tab/>
      </w:r>
      <w:r w:rsidR="00F931CF">
        <w:tab/>
      </w:r>
      <w:r w:rsidR="008A1193">
        <w:tab/>
      </w:r>
      <w:r>
        <w:t xml:space="preserve">Commerce/HUD 15-day </w:t>
      </w:r>
      <w:r w:rsidR="00CD658C">
        <w:t xml:space="preserve">objection </w:t>
      </w:r>
      <w:r>
        <w:t>period</w:t>
      </w:r>
    </w:p>
    <w:p w14:paraId="11AFF2B1" w14:textId="78B9ABDE" w:rsidR="004D218C" w:rsidRDefault="004D218C" w:rsidP="004D218C">
      <w:r>
        <w:t>April 1</w:t>
      </w:r>
      <w:r w:rsidR="008A1193">
        <w:t>8</w:t>
      </w:r>
      <w:r>
        <w:t>, 20__</w:t>
      </w:r>
      <w:r>
        <w:tab/>
      </w:r>
      <w:r>
        <w:tab/>
      </w:r>
      <w:r>
        <w:tab/>
        <w:t>Commerce/HUD release of funds</w:t>
      </w:r>
      <w:r w:rsidR="00CD658C">
        <w:t xml:space="preserve"> </w:t>
      </w:r>
      <w:r w:rsidR="00C56074">
        <w:t>(earliest date possible)</w:t>
      </w:r>
    </w:p>
    <w:p w14:paraId="46C9EAF5" w14:textId="57BC198A" w:rsidR="004D218C" w:rsidRDefault="004D218C" w:rsidP="007B1F98"/>
    <w:p w14:paraId="662C96E7" w14:textId="1020DEB0" w:rsidR="00283B9E" w:rsidRDefault="00283B9E" w:rsidP="007B1F98">
      <w:r>
        <w:t xml:space="preserve">It should be noted that comment periods begin the day following publication and distribution. </w:t>
      </w:r>
      <w:r w:rsidR="00D97CAF">
        <w:t>C</w:t>
      </w:r>
      <w:r>
        <w:t xml:space="preserve">omment periods </w:t>
      </w:r>
      <w:r w:rsidR="00D97CAF">
        <w:t>cannot end</w:t>
      </w:r>
      <w:r>
        <w:t xml:space="preserve"> on weekends or federal holidays.</w:t>
      </w:r>
      <w:r w:rsidR="00AE4C70" w:rsidRPr="00AE4C70">
        <w:t xml:space="preserve"> </w:t>
      </w:r>
      <w:r w:rsidR="00AE4C70">
        <w:t>Additionally, for non-governmental grantees, whose ERR will require HUD’s review and release of funds, extra time for mailing the ERR and for HUD to review should be included.</w:t>
      </w:r>
    </w:p>
    <w:p w14:paraId="153F203D" w14:textId="77777777" w:rsidR="00283B9E" w:rsidRDefault="00283B9E" w:rsidP="007B1F98"/>
    <w:p w14:paraId="711A8EDD" w14:textId="2FD88E9A" w:rsidR="00AD6B66" w:rsidRDefault="003F3758" w:rsidP="00FD1836">
      <w:r>
        <w:rPr>
          <w:rFonts w:cstheme="minorHAnsi"/>
          <w:color w:val="000000"/>
        </w:rPr>
        <w:t>Grantees must submit to</w:t>
      </w:r>
      <w:r w:rsidR="00FD1836">
        <w:t xml:space="preserve"> </w:t>
      </w:r>
      <w:r w:rsidR="00F31326">
        <w:t>Commerce</w:t>
      </w:r>
      <w:r w:rsidR="00F81B91">
        <w:t xml:space="preserve"> </w:t>
      </w:r>
      <w:r w:rsidR="00FD1836">
        <w:t xml:space="preserve">the </w:t>
      </w:r>
      <w:r w:rsidR="00F81B91">
        <w:t>grantee’s</w:t>
      </w:r>
      <w:r w:rsidR="00307262">
        <w:t xml:space="preserve"> Notice of Intent to Request Release of Funds (NOI/RROF) or Finding of No Significant Impact and Notice of Intent to Request Release of Funds (FONSI/NOI/RROF) prior to publication </w:t>
      </w:r>
      <w:r w:rsidR="00F81B91">
        <w:t>to</w:t>
      </w:r>
      <w:r w:rsidR="00307262">
        <w:t xml:space="preserve"> ensure all requirements such as prescribed comment periods are met.</w:t>
      </w:r>
    </w:p>
    <w:p w14:paraId="21E3855C" w14:textId="307FE4FA" w:rsidR="00E54B5F" w:rsidRDefault="00E54B5F" w:rsidP="00FD1836"/>
    <w:p w14:paraId="35801A65" w14:textId="6898F9F4" w:rsidR="00E54B5F" w:rsidRDefault="00E54B5F" w:rsidP="00FD1836">
      <w:r>
        <w:t xml:space="preserve">Grantees can use the tools </w:t>
      </w:r>
      <w:r w:rsidR="0020362F">
        <w:t xml:space="preserve">on the following page </w:t>
      </w:r>
      <w:r>
        <w:t xml:space="preserve">to create a noticing and public comment period schedule. </w:t>
      </w:r>
    </w:p>
    <w:p w14:paraId="0202741F" w14:textId="332D8DAC" w:rsidR="00E54B5F" w:rsidRDefault="00E54B5F" w:rsidP="00FD1836"/>
    <w:p w14:paraId="663B7A1C" w14:textId="12C86EDF" w:rsidR="00E54B5F" w:rsidRDefault="00E54B5F"/>
    <w:p w14:paraId="1535F2D8" w14:textId="77777777" w:rsidR="0020362F" w:rsidRDefault="0020362F">
      <w:bookmarkStart w:id="0" w:name="_Hlk44311273"/>
      <w:r>
        <w:br w:type="page"/>
      </w:r>
    </w:p>
    <w:tbl>
      <w:tblPr>
        <w:tblStyle w:val="TableGrid"/>
        <w:tblW w:w="5000" w:type="pct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66"/>
        <w:gridCol w:w="1442"/>
        <w:gridCol w:w="671"/>
        <w:gridCol w:w="671"/>
      </w:tblGrid>
      <w:tr w:rsidR="008F5040" w14:paraId="4E961003" w14:textId="77777777" w:rsidTr="008A7735">
        <w:tc>
          <w:tcPr>
            <w:tcW w:w="5000" w:type="pct"/>
            <w:gridSpan w:val="4"/>
            <w:shd w:val="clear" w:color="auto" w:fill="C5D4D5"/>
          </w:tcPr>
          <w:p w14:paraId="13133602" w14:textId="29D616D0" w:rsidR="008F5040" w:rsidRPr="00F22C48" w:rsidRDefault="008F5040" w:rsidP="008A773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CATEGORICALLY EXCLUDED, SUBJECT TO </w:t>
            </w:r>
            <w:r w:rsidRPr="00E54B5F">
              <w:rPr>
                <w:b/>
              </w:rPr>
              <w:t>§ 58.5 (CEST)</w:t>
            </w:r>
            <w:r w:rsidRPr="00F22C48">
              <w:rPr>
                <w:b/>
              </w:rPr>
              <w:t xml:space="preserve"> </w:t>
            </w:r>
            <w:r w:rsidR="00BB68CC">
              <w:rPr>
                <w:b/>
              </w:rPr>
              <w:t xml:space="preserve">– </w:t>
            </w:r>
            <w:r w:rsidRPr="00F22C48">
              <w:rPr>
                <w:b/>
              </w:rPr>
              <w:t>NOI/RROF</w:t>
            </w:r>
          </w:p>
          <w:p w14:paraId="630B9668" w14:textId="77777777" w:rsidR="008F5040" w:rsidRPr="00F22C48" w:rsidRDefault="008F5040" w:rsidP="008A7735">
            <w:pPr>
              <w:rPr>
                <w:b/>
              </w:rPr>
            </w:pPr>
            <w:r w:rsidRPr="00F22C48">
              <w:rPr>
                <w:bCs/>
              </w:rPr>
              <w:t>*Note t</w:t>
            </w:r>
            <w:r>
              <w:rPr>
                <w:bCs/>
              </w:rPr>
              <w:t>his process is to occur after the floodplain/wetland public notification process (if any).</w:t>
            </w:r>
          </w:p>
        </w:tc>
      </w:tr>
      <w:tr w:rsidR="008F5040" w14:paraId="6915AB42" w14:textId="77777777" w:rsidTr="008A7735">
        <w:tc>
          <w:tcPr>
            <w:tcW w:w="3511" w:type="pct"/>
            <w:shd w:val="clear" w:color="auto" w:fill="auto"/>
          </w:tcPr>
          <w:p w14:paraId="6DF12312" w14:textId="77777777" w:rsidR="008F5040" w:rsidRPr="007E5742" w:rsidRDefault="008F5040" w:rsidP="008A7735">
            <w:pPr>
              <w:rPr>
                <w:bCs/>
              </w:rPr>
            </w:pPr>
            <w:r w:rsidRPr="007E5742">
              <w:rPr>
                <w:bCs/>
              </w:rPr>
              <w:t xml:space="preserve">1. Date of </w:t>
            </w:r>
            <w:r>
              <w:rPr>
                <w:bCs/>
              </w:rPr>
              <w:t>n</w:t>
            </w:r>
            <w:r w:rsidRPr="007E5742">
              <w:rPr>
                <w:bCs/>
              </w:rPr>
              <w:t xml:space="preserve">otice </w:t>
            </w:r>
            <w:r>
              <w:rPr>
                <w:bCs/>
              </w:rPr>
              <w:t>p</w:t>
            </w:r>
            <w:r w:rsidRPr="007E5742">
              <w:rPr>
                <w:bCs/>
              </w:rPr>
              <w:t>ublication/</w:t>
            </w:r>
            <w:r>
              <w:rPr>
                <w:bCs/>
              </w:rPr>
              <w:t>d</w:t>
            </w:r>
            <w:r w:rsidRPr="007E5742">
              <w:rPr>
                <w:bCs/>
              </w:rPr>
              <w:t>istribution:</w:t>
            </w:r>
          </w:p>
        </w:tc>
        <w:tc>
          <w:tcPr>
            <w:tcW w:w="771" w:type="pct"/>
          </w:tcPr>
          <w:p w14:paraId="56DB5D87" w14:textId="2810D9E7" w:rsidR="008F5040" w:rsidRPr="00B44BAA" w:rsidRDefault="008F5040" w:rsidP="008A7735">
            <w:pPr>
              <w:jc w:val="right"/>
              <w:rPr>
                <w:bCs/>
              </w:rPr>
            </w:pPr>
          </w:p>
        </w:tc>
        <w:tc>
          <w:tcPr>
            <w:tcW w:w="359" w:type="pct"/>
            <w:tcBorders>
              <w:top w:val="nil"/>
              <w:bottom w:val="single" w:sz="4" w:space="0" w:color="6E9699"/>
              <w:right w:val="nil"/>
            </w:tcBorders>
          </w:tcPr>
          <w:p w14:paraId="389FE4C7" w14:textId="77777777" w:rsidR="008F5040" w:rsidRDefault="008F5040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9186CE0" w14:textId="77777777" w:rsidR="008F5040" w:rsidRDefault="008F5040" w:rsidP="008A7735">
            <w:pPr>
              <w:rPr>
                <w:b/>
                <w:color w:val="6E9699"/>
              </w:rPr>
            </w:pPr>
          </w:p>
        </w:tc>
      </w:tr>
      <w:tr w:rsidR="008F5040" w14:paraId="22534F0E" w14:textId="77777777" w:rsidTr="008A7735">
        <w:tc>
          <w:tcPr>
            <w:tcW w:w="3511" w:type="pct"/>
            <w:shd w:val="clear" w:color="auto" w:fill="auto"/>
          </w:tcPr>
          <w:p w14:paraId="7F57F3AA" w14:textId="77777777" w:rsidR="008F5040" w:rsidRPr="007E5742" w:rsidRDefault="008F5040" w:rsidP="008A7735">
            <w:pPr>
              <w:rPr>
                <w:bCs/>
              </w:rPr>
            </w:pPr>
            <w:r w:rsidRPr="007E5742">
              <w:rPr>
                <w:bCs/>
              </w:rPr>
              <w:t xml:space="preserve">2. Start </w:t>
            </w:r>
            <w:r>
              <w:rPr>
                <w:bCs/>
              </w:rPr>
              <w:t>d</w:t>
            </w:r>
            <w:r w:rsidRPr="007E5742">
              <w:rPr>
                <w:bCs/>
              </w:rPr>
              <w:t xml:space="preserve">ate of </w:t>
            </w:r>
            <w:r>
              <w:rPr>
                <w:bCs/>
              </w:rPr>
              <w:t>p</w:t>
            </w:r>
            <w:r w:rsidRPr="007E5742">
              <w:rPr>
                <w:bCs/>
              </w:rPr>
              <w:t xml:space="preserve">ublic </w:t>
            </w:r>
            <w:r>
              <w:rPr>
                <w:bCs/>
              </w:rPr>
              <w:t>c</w:t>
            </w:r>
            <w:r w:rsidRPr="007E5742">
              <w:rPr>
                <w:bCs/>
              </w:rPr>
              <w:t xml:space="preserve">omment </w:t>
            </w:r>
            <w:r>
              <w:rPr>
                <w:bCs/>
              </w:rPr>
              <w:t>p</w:t>
            </w:r>
            <w:r w:rsidRPr="007E5742">
              <w:rPr>
                <w:bCs/>
              </w:rPr>
              <w:t>eriod:</w:t>
            </w:r>
          </w:p>
          <w:p w14:paraId="6C2BC827" w14:textId="77777777" w:rsidR="008F5040" w:rsidRPr="007E5742" w:rsidRDefault="008F5040" w:rsidP="008A7735">
            <w:pPr>
              <w:rPr>
                <w:bCs/>
              </w:rPr>
            </w:pPr>
            <w:r w:rsidRPr="007E5742">
              <w:rPr>
                <w:bCs/>
                <w:color w:val="6E9699"/>
              </w:rPr>
              <w:t xml:space="preserve">Add </w:t>
            </w:r>
            <w:r>
              <w:rPr>
                <w:bCs/>
                <w:color w:val="6E9699"/>
              </w:rPr>
              <w:t xml:space="preserve">1 </w:t>
            </w:r>
            <w:r w:rsidRPr="007E5742">
              <w:rPr>
                <w:bCs/>
                <w:color w:val="6E9699"/>
              </w:rPr>
              <w:t>day to date in line 1.</w:t>
            </w:r>
          </w:p>
        </w:tc>
        <w:tc>
          <w:tcPr>
            <w:tcW w:w="771" w:type="pct"/>
          </w:tcPr>
          <w:p w14:paraId="66AA62B2" w14:textId="29843934" w:rsidR="008F5040" w:rsidRPr="00B44BAA" w:rsidRDefault="008F5040" w:rsidP="008A7735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6E9699"/>
              <w:bottom w:val="single" w:sz="4" w:space="0" w:color="6E9699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31994179" w14:textId="77777777" w:rsidR="008F5040" w:rsidRPr="00017488" w:rsidRDefault="008F5040" w:rsidP="008A7735">
            <w:pPr>
              <w:ind w:left="113" w:right="113"/>
              <w:jc w:val="center"/>
              <w:rPr>
                <w:bCs/>
                <w:color w:val="6E9699"/>
              </w:rPr>
            </w:pPr>
            <w:r>
              <w:rPr>
                <w:bCs/>
                <w:color w:val="6E9699"/>
              </w:rPr>
              <w:t xml:space="preserve">7-Day </w:t>
            </w:r>
            <w:r w:rsidRPr="00017488">
              <w:rPr>
                <w:bCs/>
                <w:color w:val="6E9699"/>
              </w:rPr>
              <w:t>Public Comment Period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6E9699"/>
              <w:right w:val="nil"/>
            </w:tcBorders>
          </w:tcPr>
          <w:p w14:paraId="5F718DA1" w14:textId="77777777" w:rsidR="008F5040" w:rsidRDefault="008F5040" w:rsidP="008A7735">
            <w:pPr>
              <w:rPr>
                <w:b/>
                <w:color w:val="6E9699"/>
              </w:rPr>
            </w:pPr>
          </w:p>
        </w:tc>
      </w:tr>
      <w:tr w:rsidR="008F5040" w14:paraId="78E31436" w14:textId="77777777" w:rsidTr="008A7735">
        <w:tc>
          <w:tcPr>
            <w:tcW w:w="3511" w:type="pct"/>
            <w:shd w:val="clear" w:color="auto" w:fill="auto"/>
          </w:tcPr>
          <w:p w14:paraId="710C7F56" w14:textId="77777777" w:rsidR="008F5040" w:rsidRPr="00E54209" w:rsidRDefault="008F5040" w:rsidP="008A7735">
            <w:pPr>
              <w:rPr>
                <w:bCs/>
              </w:rPr>
            </w:pPr>
            <w:r w:rsidRPr="00E54209">
              <w:rPr>
                <w:bCs/>
              </w:rPr>
              <w:t>3. End date of public comment period:</w:t>
            </w:r>
          </w:p>
          <w:p w14:paraId="077DE960" w14:textId="527BBA81" w:rsidR="008F5040" w:rsidRPr="00E54209" w:rsidRDefault="008F5040" w:rsidP="008A7735">
            <w:pPr>
              <w:rPr>
                <w:bCs/>
                <w:color w:val="6E9699"/>
              </w:rPr>
            </w:pPr>
            <w:r w:rsidRPr="00E54209">
              <w:rPr>
                <w:bCs/>
                <w:color w:val="6E9699"/>
              </w:rPr>
              <w:t xml:space="preserve">Add </w:t>
            </w:r>
            <w:r>
              <w:rPr>
                <w:bCs/>
                <w:color w:val="6E9699"/>
              </w:rPr>
              <w:t>7</w:t>
            </w:r>
            <w:r w:rsidRPr="00E54209">
              <w:rPr>
                <w:bCs/>
                <w:color w:val="6E9699"/>
              </w:rPr>
              <w:t xml:space="preserve"> days to date in line 2.</w:t>
            </w:r>
          </w:p>
          <w:p w14:paraId="046EC758" w14:textId="77777777" w:rsidR="008F5040" w:rsidRPr="00D97CAF" w:rsidRDefault="008F5040" w:rsidP="008A7735">
            <w:pPr>
              <w:rPr>
                <w:bCs/>
              </w:rPr>
            </w:pPr>
            <w:r w:rsidRPr="00E54209">
              <w:rPr>
                <w:bCs/>
              </w:rPr>
              <w:t xml:space="preserve">*Note </w:t>
            </w:r>
            <w:r>
              <w:rPr>
                <w:bCs/>
              </w:rPr>
              <w:t>comment periods cannot end on weekends or federal holidays. If this date falls on a weekend or federal holiday,</w:t>
            </w:r>
            <w:r w:rsidRPr="00E54209">
              <w:rPr>
                <w:bCs/>
              </w:rPr>
              <w:t xml:space="preserve"> </w:t>
            </w:r>
            <w:r>
              <w:rPr>
                <w:bCs/>
              </w:rPr>
              <w:t xml:space="preserve">enter the date of the </w:t>
            </w:r>
            <w:r w:rsidRPr="00E54209">
              <w:rPr>
                <w:bCs/>
              </w:rPr>
              <w:t>next business day.</w:t>
            </w:r>
          </w:p>
        </w:tc>
        <w:tc>
          <w:tcPr>
            <w:tcW w:w="771" w:type="pct"/>
          </w:tcPr>
          <w:p w14:paraId="28E228AD" w14:textId="509341E7" w:rsidR="008F5040" w:rsidRPr="00B44BAA" w:rsidRDefault="008F5040" w:rsidP="008A7735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/>
            <w:tcBorders>
              <w:top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</w:tcPr>
          <w:p w14:paraId="073F470C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6E9699"/>
              <w:left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219554CE" w14:textId="77777777" w:rsidR="008F5040" w:rsidRPr="00825564" w:rsidRDefault="008F5040" w:rsidP="008A7735">
            <w:pPr>
              <w:ind w:left="113" w:right="113"/>
              <w:jc w:val="center"/>
              <w:rPr>
                <w:bCs/>
                <w:color w:val="6E9699"/>
              </w:rPr>
            </w:pPr>
            <w:r w:rsidRPr="00825564">
              <w:rPr>
                <w:bCs/>
                <w:color w:val="6E9699"/>
              </w:rPr>
              <w:t>Comment Review Period</w:t>
            </w:r>
          </w:p>
        </w:tc>
      </w:tr>
      <w:tr w:rsidR="008F5040" w14:paraId="6AADE078" w14:textId="77777777" w:rsidTr="008A7735">
        <w:tc>
          <w:tcPr>
            <w:tcW w:w="3511" w:type="pct"/>
            <w:shd w:val="clear" w:color="auto" w:fill="auto"/>
          </w:tcPr>
          <w:p w14:paraId="3A8B505B" w14:textId="77777777" w:rsidR="008F5040" w:rsidRDefault="008F5040" w:rsidP="008A7735">
            <w:pPr>
              <w:rPr>
                <w:bCs/>
              </w:rPr>
            </w:pPr>
            <w:r w:rsidRPr="004876D9">
              <w:rPr>
                <w:bCs/>
              </w:rPr>
              <w:t>4.</w:t>
            </w:r>
            <w:r>
              <w:rPr>
                <w:bCs/>
              </w:rPr>
              <w:t xml:space="preserve"> Date grantee</w:t>
            </w:r>
            <w:r w:rsidRPr="004876D9">
              <w:rPr>
                <w:bCs/>
              </w:rPr>
              <w:t xml:space="preserve"> can RROF</w:t>
            </w:r>
            <w:r>
              <w:rPr>
                <w:bCs/>
              </w:rPr>
              <w:t xml:space="preserve"> from Commerce or HUD as applicable:</w:t>
            </w:r>
          </w:p>
          <w:p w14:paraId="0D968CE7" w14:textId="77777777" w:rsidR="008F5040" w:rsidRPr="00E54209" w:rsidRDefault="008F5040" w:rsidP="008A7735">
            <w:pPr>
              <w:rPr>
                <w:bCs/>
              </w:rPr>
            </w:pPr>
            <w:r w:rsidRPr="004876D9">
              <w:rPr>
                <w:bCs/>
                <w:color w:val="6E9699"/>
              </w:rPr>
              <w:t>Add 1 day to date in line 3.</w:t>
            </w:r>
          </w:p>
        </w:tc>
        <w:tc>
          <w:tcPr>
            <w:tcW w:w="771" w:type="pct"/>
          </w:tcPr>
          <w:p w14:paraId="63A8253A" w14:textId="3C5415BB" w:rsidR="008F5040" w:rsidRPr="00B44BAA" w:rsidRDefault="008F5040" w:rsidP="008A7735">
            <w:pPr>
              <w:jc w:val="right"/>
              <w:rPr>
                <w:bCs/>
              </w:rPr>
            </w:pPr>
          </w:p>
        </w:tc>
        <w:tc>
          <w:tcPr>
            <w:tcW w:w="359" w:type="pct"/>
            <w:tcBorders>
              <w:top w:val="single" w:sz="4" w:space="0" w:color="6E9699"/>
              <w:bottom w:val="nil"/>
              <w:right w:val="nil"/>
            </w:tcBorders>
          </w:tcPr>
          <w:p w14:paraId="44A8FB76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vMerge/>
            <w:tcBorders>
              <w:top w:val="nil"/>
              <w:left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</w:tcPr>
          <w:p w14:paraId="21C3AC18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</w:tr>
      <w:tr w:rsidR="008F5040" w14:paraId="69B1672C" w14:textId="77777777" w:rsidTr="008A7735">
        <w:tc>
          <w:tcPr>
            <w:tcW w:w="3511" w:type="pct"/>
            <w:shd w:val="clear" w:color="auto" w:fill="auto"/>
          </w:tcPr>
          <w:p w14:paraId="2B894DF0" w14:textId="77777777" w:rsidR="008F5040" w:rsidRDefault="008F5040" w:rsidP="008A7735">
            <w:pPr>
              <w:rPr>
                <w:bCs/>
              </w:rPr>
            </w:pPr>
            <w:r w:rsidRPr="00094047">
              <w:rPr>
                <w:bCs/>
              </w:rPr>
              <w:t>5.</w:t>
            </w:r>
            <w:r>
              <w:rPr>
                <w:bCs/>
              </w:rPr>
              <w:t xml:space="preserve"> Transmittal date:</w:t>
            </w:r>
          </w:p>
          <w:p w14:paraId="4D7FAAB5" w14:textId="77777777" w:rsidR="008F5040" w:rsidRPr="004876D9" w:rsidRDefault="008F5040" w:rsidP="008A7735">
            <w:pPr>
              <w:rPr>
                <w:bCs/>
              </w:rPr>
            </w:pPr>
            <w:r w:rsidRPr="00094047">
              <w:rPr>
                <w:bCs/>
                <w:color w:val="6E9699"/>
              </w:rPr>
              <w:t>Add 3 days to date in line 3.</w:t>
            </w:r>
            <w:r w:rsidRPr="00094047">
              <w:rPr>
                <w:bCs/>
              </w:rPr>
              <w:tab/>
            </w:r>
            <w:r w:rsidRPr="00094047">
              <w:rPr>
                <w:bCs/>
              </w:rPr>
              <w:tab/>
            </w:r>
          </w:p>
        </w:tc>
        <w:tc>
          <w:tcPr>
            <w:tcW w:w="771" w:type="pct"/>
          </w:tcPr>
          <w:p w14:paraId="35C4B646" w14:textId="00D28679" w:rsidR="008F5040" w:rsidRPr="00B44BAA" w:rsidRDefault="008F5040" w:rsidP="008A7735">
            <w:pPr>
              <w:jc w:val="right"/>
              <w:rPr>
                <w:bCs/>
              </w:rPr>
            </w:pPr>
          </w:p>
        </w:tc>
        <w:tc>
          <w:tcPr>
            <w:tcW w:w="359" w:type="pct"/>
            <w:tcBorders>
              <w:top w:val="nil"/>
              <w:bottom w:val="single" w:sz="4" w:space="0" w:color="6E9699"/>
              <w:right w:val="nil"/>
            </w:tcBorders>
          </w:tcPr>
          <w:p w14:paraId="56917112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tcBorders>
              <w:top w:val="single" w:sz="4" w:space="0" w:color="6E9699"/>
              <w:left w:val="nil"/>
              <w:bottom w:val="nil"/>
              <w:right w:val="nil"/>
            </w:tcBorders>
          </w:tcPr>
          <w:p w14:paraId="24ABB0FC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</w:tr>
      <w:tr w:rsidR="008F5040" w14:paraId="66227823" w14:textId="77777777" w:rsidTr="008A7735">
        <w:tc>
          <w:tcPr>
            <w:tcW w:w="3511" w:type="pct"/>
            <w:shd w:val="clear" w:color="auto" w:fill="auto"/>
          </w:tcPr>
          <w:p w14:paraId="55CFE298" w14:textId="77777777" w:rsidR="008F5040" w:rsidRDefault="008F5040" w:rsidP="008A7735">
            <w:pPr>
              <w:rPr>
                <w:bCs/>
              </w:rPr>
            </w:pPr>
            <w:r w:rsidRPr="00094047">
              <w:rPr>
                <w:bCs/>
              </w:rPr>
              <w:t>6.</w:t>
            </w:r>
            <w:r>
              <w:rPr>
                <w:bCs/>
              </w:rPr>
              <w:t xml:space="preserve"> Start date of </w:t>
            </w:r>
            <w:r w:rsidRPr="00094047">
              <w:rPr>
                <w:bCs/>
              </w:rPr>
              <w:t>objection period</w:t>
            </w:r>
            <w:r>
              <w:rPr>
                <w:bCs/>
              </w:rPr>
              <w:t>:</w:t>
            </w:r>
          </w:p>
          <w:p w14:paraId="2334B25E" w14:textId="77777777" w:rsidR="008F5040" w:rsidRPr="004876D9" w:rsidRDefault="008F5040" w:rsidP="008A7735">
            <w:pPr>
              <w:rPr>
                <w:bCs/>
              </w:rPr>
            </w:pPr>
            <w:r w:rsidRPr="00094047">
              <w:rPr>
                <w:bCs/>
                <w:color w:val="6E9699"/>
              </w:rPr>
              <w:t>Add 1 day to date in line 5.</w:t>
            </w:r>
          </w:p>
        </w:tc>
        <w:tc>
          <w:tcPr>
            <w:tcW w:w="771" w:type="pct"/>
          </w:tcPr>
          <w:p w14:paraId="37AB8F20" w14:textId="277D73C6" w:rsidR="008F5040" w:rsidRPr="00B44BAA" w:rsidRDefault="008F5040" w:rsidP="008A7735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6E9699"/>
              <w:bottom w:val="single" w:sz="4" w:space="0" w:color="6E9699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4B9E8355" w14:textId="77777777" w:rsidR="008F5040" w:rsidRPr="00017488" w:rsidRDefault="008F5040" w:rsidP="008A7735">
            <w:pPr>
              <w:ind w:left="113" w:right="113"/>
              <w:jc w:val="center"/>
              <w:rPr>
                <w:bCs/>
                <w:color w:val="6E9699"/>
              </w:rPr>
            </w:pPr>
            <w:r>
              <w:rPr>
                <w:bCs/>
                <w:color w:val="6E9699"/>
              </w:rPr>
              <w:t xml:space="preserve">15-Day </w:t>
            </w:r>
            <w:r w:rsidRPr="00017488">
              <w:rPr>
                <w:bCs/>
                <w:color w:val="6E9699"/>
              </w:rPr>
              <w:t>Objection Period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1B214360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</w:tr>
      <w:tr w:rsidR="008F5040" w14:paraId="18999A9C" w14:textId="77777777" w:rsidTr="008A7735">
        <w:tc>
          <w:tcPr>
            <w:tcW w:w="3511" w:type="pct"/>
            <w:shd w:val="clear" w:color="auto" w:fill="auto"/>
          </w:tcPr>
          <w:p w14:paraId="5367D4BE" w14:textId="77777777" w:rsidR="008F5040" w:rsidRDefault="008F5040" w:rsidP="008A7735">
            <w:pPr>
              <w:rPr>
                <w:bCs/>
              </w:rPr>
            </w:pPr>
            <w:r w:rsidRPr="00094047">
              <w:rPr>
                <w:bCs/>
              </w:rPr>
              <w:t>7.</w:t>
            </w:r>
            <w:r>
              <w:rPr>
                <w:bCs/>
              </w:rPr>
              <w:t xml:space="preserve"> </w:t>
            </w:r>
            <w:r w:rsidRPr="00094047">
              <w:rPr>
                <w:bCs/>
              </w:rPr>
              <w:t xml:space="preserve">End </w:t>
            </w:r>
            <w:r>
              <w:rPr>
                <w:bCs/>
              </w:rPr>
              <w:t xml:space="preserve">date </w:t>
            </w:r>
            <w:r w:rsidRPr="00094047">
              <w:rPr>
                <w:bCs/>
              </w:rPr>
              <w:t>of objection period</w:t>
            </w:r>
            <w:r>
              <w:rPr>
                <w:bCs/>
              </w:rPr>
              <w:t>:</w:t>
            </w:r>
          </w:p>
          <w:p w14:paraId="51596ACB" w14:textId="77777777" w:rsidR="008F5040" w:rsidRPr="00094047" w:rsidRDefault="008F5040" w:rsidP="008A7735">
            <w:pPr>
              <w:rPr>
                <w:bCs/>
                <w:color w:val="6E9699"/>
              </w:rPr>
            </w:pPr>
            <w:r w:rsidRPr="00094047">
              <w:rPr>
                <w:bCs/>
                <w:color w:val="6E9699"/>
              </w:rPr>
              <w:t xml:space="preserve">Add 14 days to date in </w:t>
            </w:r>
            <w:r>
              <w:rPr>
                <w:bCs/>
                <w:color w:val="6E9699"/>
              </w:rPr>
              <w:t xml:space="preserve">line </w:t>
            </w:r>
            <w:r w:rsidRPr="00094047">
              <w:rPr>
                <w:bCs/>
                <w:color w:val="6E9699"/>
              </w:rPr>
              <w:t>6.</w:t>
            </w:r>
          </w:p>
          <w:p w14:paraId="6E62CB8E" w14:textId="77777777" w:rsidR="008F5040" w:rsidRPr="004876D9" w:rsidRDefault="008F5040" w:rsidP="008A7735">
            <w:pPr>
              <w:rPr>
                <w:bCs/>
              </w:rPr>
            </w:pPr>
            <w:r w:rsidRPr="00E54209">
              <w:rPr>
                <w:bCs/>
              </w:rPr>
              <w:t xml:space="preserve">*Note </w:t>
            </w:r>
            <w:r>
              <w:rPr>
                <w:bCs/>
              </w:rPr>
              <w:t>comment periods cannot end on weekends or federal holidays. If this date falls on a weekend or federal holiday,</w:t>
            </w:r>
            <w:r w:rsidRPr="00E54209">
              <w:rPr>
                <w:bCs/>
              </w:rPr>
              <w:t xml:space="preserve"> </w:t>
            </w:r>
            <w:r>
              <w:rPr>
                <w:bCs/>
              </w:rPr>
              <w:t xml:space="preserve">enter the date of the </w:t>
            </w:r>
            <w:r w:rsidRPr="00E54209">
              <w:rPr>
                <w:bCs/>
              </w:rPr>
              <w:t>next business day.</w:t>
            </w:r>
          </w:p>
        </w:tc>
        <w:tc>
          <w:tcPr>
            <w:tcW w:w="771" w:type="pct"/>
          </w:tcPr>
          <w:p w14:paraId="5F27F04F" w14:textId="12CF4608" w:rsidR="008F5040" w:rsidRPr="00B44BAA" w:rsidRDefault="008F5040" w:rsidP="008A7735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/>
            <w:tcBorders>
              <w:top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</w:tcPr>
          <w:p w14:paraId="1A3AEBEE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6179CC25" w14:textId="77777777" w:rsidR="008F5040" w:rsidRPr="00F03556" w:rsidRDefault="008F5040" w:rsidP="008A7735">
            <w:pPr>
              <w:rPr>
                <w:b/>
                <w:color w:val="6E9699"/>
              </w:rPr>
            </w:pPr>
          </w:p>
        </w:tc>
      </w:tr>
      <w:bookmarkEnd w:id="0"/>
    </w:tbl>
    <w:p w14:paraId="3DE1CEC5" w14:textId="77777777" w:rsidR="00B12F0C" w:rsidRDefault="00B12F0C"/>
    <w:tbl>
      <w:tblPr>
        <w:tblStyle w:val="TableGrid"/>
        <w:tblW w:w="5000" w:type="pct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66"/>
        <w:gridCol w:w="1442"/>
        <w:gridCol w:w="671"/>
        <w:gridCol w:w="671"/>
      </w:tblGrid>
      <w:tr w:rsidR="00825564" w14:paraId="638CE7B7" w14:textId="5E911744" w:rsidTr="00825564">
        <w:tc>
          <w:tcPr>
            <w:tcW w:w="5000" w:type="pct"/>
            <w:gridSpan w:val="4"/>
            <w:shd w:val="clear" w:color="auto" w:fill="C5D4D5"/>
          </w:tcPr>
          <w:p w14:paraId="7BBB0603" w14:textId="2A92C703" w:rsidR="00825564" w:rsidRPr="00F22C48" w:rsidRDefault="00825564" w:rsidP="008A7735">
            <w:pPr>
              <w:rPr>
                <w:b/>
              </w:rPr>
            </w:pPr>
            <w:r w:rsidRPr="00F22C48">
              <w:rPr>
                <w:b/>
              </w:rPr>
              <w:t xml:space="preserve">ENVIRONMENTAL ASSESSMENT </w:t>
            </w:r>
            <w:r w:rsidR="00BB68CC">
              <w:rPr>
                <w:b/>
              </w:rPr>
              <w:t xml:space="preserve">– </w:t>
            </w:r>
            <w:r w:rsidRPr="00F22C48">
              <w:rPr>
                <w:b/>
              </w:rPr>
              <w:t>FONSI/NOI/RROF</w:t>
            </w:r>
          </w:p>
          <w:p w14:paraId="7F367F50" w14:textId="50E2972D" w:rsidR="00825564" w:rsidRPr="00F22C48" w:rsidRDefault="00825564" w:rsidP="008A7735">
            <w:pPr>
              <w:rPr>
                <w:b/>
              </w:rPr>
            </w:pPr>
            <w:r w:rsidRPr="00F22C48">
              <w:rPr>
                <w:bCs/>
              </w:rPr>
              <w:t>*Note t</w:t>
            </w:r>
            <w:r>
              <w:rPr>
                <w:bCs/>
              </w:rPr>
              <w:t>his process is to occur after the floodplain/wetland public notification process (if any).</w:t>
            </w:r>
          </w:p>
        </w:tc>
      </w:tr>
      <w:tr w:rsidR="00017488" w14:paraId="3692895E" w14:textId="68BF2AAD" w:rsidTr="00825564">
        <w:tc>
          <w:tcPr>
            <w:tcW w:w="3511" w:type="pct"/>
            <w:shd w:val="clear" w:color="auto" w:fill="auto"/>
          </w:tcPr>
          <w:p w14:paraId="70F98E2B" w14:textId="55D9B12C" w:rsidR="00017488" w:rsidRPr="007E5742" w:rsidRDefault="00017488" w:rsidP="00E54B5F">
            <w:pPr>
              <w:rPr>
                <w:bCs/>
              </w:rPr>
            </w:pPr>
            <w:r w:rsidRPr="007E5742">
              <w:rPr>
                <w:bCs/>
              </w:rPr>
              <w:t xml:space="preserve">1. Date of </w:t>
            </w:r>
            <w:r>
              <w:rPr>
                <w:bCs/>
              </w:rPr>
              <w:t>n</w:t>
            </w:r>
            <w:r w:rsidRPr="007E5742">
              <w:rPr>
                <w:bCs/>
              </w:rPr>
              <w:t xml:space="preserve">otice </w:t>
            </w:r>
            <w:r>
              <w:rPr>
                <w:bCs/>
              </w:rPr>
              <w:t>p</w:t>
            </w:r>
            <w:r w:rsidRPr="007E5742">
              <w:rPr>
                <w:bCs/>
              </w:rPr>
              <w:t>ublication/</w:t>
            </w:r>
            <w:r>
              <w:rPr>
                <w:bCs/>
              </w:rPr>
              <w:t>d</w:t>
            </w:r>
            <w:r w:rsidRPr="007E5742">
              <w:rPr>
                <w:bCs/>
              </w:rPr>
              <w:t>istribution:</w:t>
            </w:r>
          </w:p>
        </w:tc>
        <w:tc>
          <w:tcPr>
            <w:tcW w:w="771" w:type="pct"/>
          </w:tcPr>
          <w:p w14:paraId="30CFFFBB" w14:textId="314376AD" w:rsidR="00017488" w:rsidRPr="00B44BAA" w:rsidRDefault="00017488" w:rsidP="00B44BAA">
            <w:pPr>
              <w:jc w:val="right"/>
              <w:rPr>
                <w:bCs/>
              </w:rPr>
            </w:pPr>
          </w:p>
        </w:tc>
        <w:tc>
          <w:tcPr>
            <w:tcW w:w="359" w:type="pct"/>
            <w:tcBorders>
              <w:top w:val="nil"/>
              <w:bottom w:val="single" w:sz="4" w:space="0" w:color="6E9699"/>
              <w:right w:val="nil"/>
            </w:tcBorders>
          </w:tcPr>
          <w:p w14:paraId="6AFE72A3" w14:textId="77777777" w:rsidR="00017488" w:rsidRDefault="00017488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08D5308D" w14:textId="77777777" w:rsidR="00017488" w:rsidRDefault="00017488" w:rsidP="008A7735">
            <w:pPr>
              <w:rPr>
                <w:b/>
                <w:color w:val="6E9699"/>
              </w:rPr>
            </w:pPr>
          </w:p>
        </w:tc>
      </w:tr>
      <w:tr w:rsidR="00825564" w14:paraId="42541838" w14:textId="75B454CE" w:rsidTr="00825564">
        <w:tc>
          <w:tcPr>
            <w:tcW w:w="3511" w:type="pct"/>
            <w:shd w:val="clear" w:color="auto" w:fill="auto"/>
          </w:tcPr>
          <w:p w14:paraId="642D911C" w14:textId="195EC1B8" w:rsidR="00017488" w:rsidRPr="007E5742" w:rsidRDefault="00017488" w:rsidP="00E54B5F">
            <w:pPr>
              <w:rPr>
                <w:bCs/>
              </w:rPr>
            </w:pPr>
            <w:r w:rsidRPr="007E5742">
              <w:rPr>
                <w:bCs/>
              </w:rPr>
              <w:t xml:space="preserve">2. Start </w:t>
            </w:r>
            <w:r>
              <w:rPr>
                <w:bCs/>
              </w:rPr>
              <w:t>d</w:t>
            </w:r>
            <w:r w:rsidRPr="007E5742">
              <w:rPr>
                <w:bCs/>
              </w:rPr>
              <w:t xml:space="preserve">ate of </w:t>
            </w:r>
            <w:r>
              <w:rPr>
                <w:bCs/>
              </w:rPr>
              <w:t>p</w:t>
            </w:r>
            <w:r w:rsidRPr="007E5742">
              <w:rPr>
                <w:bCs/>
              </w:rPr>
              <w:t xml:space="preserve">ublic </w:t>
            </w:r>
            <w:r>
              <w:rPr>
                <w:bCs/>
              </w:rPr>
              <w:t>c</w:t>
            </w:r>
            <w:r w:rsidRPr="007E5742">
              <w:rPr>
                <w:bCs/>
              </w:rPr>
              <w:t xml:space="preserve">omment </w:t>
            </w:r>
            <w:r>
              <w:rPr>
                <w:bCs/>
              </w:rPr>
              <w:t>p</w:t>
            </w:r>
            <w:r w:rsidRPr="007E5742">
              <w:rPr>
                <w:bCs/>
              </w:rPr>
              <w:t>eriod:</w:t>
            </w:r>
          </w:p>
          <w:p w14:paraId="1F1EC2B4" w14:textId="20BCA7E8" w:rsidR="00017488" w:rsidRPr="007E5742" w:rsidRDefault="00017488" w:rsidP="00E54B5F">
            <w:pPr>
              <w:rPr>
                <w:bCs/>
              </w:rPr>
            </w:pPr>
            <w:r w:rsidRPr="007E5742">
              <w:rPr>
                <w:bCs/>
                <w:color w:val="6E9699"/>
              </w:rPr>
              <w:t xml:space="preserve">Add </w:t>
            </w:r>
            <w:r>
              <w:rPr>
                <w:bCs/>
                <w:color w:val="6E9699"/>
              </w:rPr>
              <w:t xml:space="preserve">1 </w:t>
            </w:r>
            <w:r w:rsidRPr="007E5742">
              <w:rPr>
                <w:bCs/>
                <w:color w:val="6E9699"/>
              </w:rPr>
              <w:t>day to date in line 1.</w:t>
            </w:r>
          </w:p>
        </w:tc>
        <w:tc>
          <w:tcPr>
            <w:tcW w:w="771" w:type="pct"/>
          </w:tcPr>
          <w:p w14:paraId="7A20406A" w14:textId="042CA6B7" w:rsidR="00017488" w:rsidRPr="00B44BAA" w:rsidRDefault="00017488" w:rsidP="00B44BAA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6E9699"/>
              <w:bottom w:val="single" w:sz="4" w:space="0" w:color="6E9699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6C068162" w14:textId="7AC2B922" w:rsidR="00017488" w:rsidRPr="00017488" w:rsidRDefault="0074210B" w:rsidP="00017488">
            <w:pPr>
              <w:ind w:left="113" w:right="113"/>
              <w:jc w:val="center"/>
              <w:rPr>
                <w:bCs/>
                <w:color w:val="6E9699"/>
              </w:rPr>
            </w:pPr>
            <w:r>
              <w:rPr>
                <w:bCs/>
                <w:color w:val="6E9699"/>
              </w:rPr>
              <w:t xml:space="preserve">15-Day </w:t>
            </w:r>
            <w:r w:rsidR="00017488" w:rsidRPr="00017488">
              <w:rPr>
                <w:bCs/>
                <w:color w:val="6E9699"/>
              </w:rPr>
              <w:t>Public Comment Period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6E9699"/>
              <w:right w:val="nil"/>
            </w:tcBorders>
          </w:tcPr>
          <w:p w14:paraId="22265CE5" w14:textId="77777777" w:rsidR="00017488" w:rsidRDefault="00017488" w:rsidP="008A7735">
            <w:pPr>
              <w:rPr>
                <w:b/>
                <w:color w:val="6E9699"/>
              </w:rPr>
            </w:pPr>
          </w:p>
        </w:tc>
      </w:tr>
      <w:tr w:rsidR="00825564" w14:paraId="06C36E14" w14:textId="34C692FC" w:rsidTr="00825564">
        <w:tc>
          <w:tcPr>
            <w:tcW w:w="3511" w:type="pct"/>
            <w:shd w:val="clear" w:color="auto" w:fill="auto"/>
          </w:tcPr>
          <w:p w14:paraId="5B3B504A" w14:textId="17C0DA08" w:rsidR="00825564" w:rsidRPr="00E54209" w:rsidRDefault="00825564" w:rsidP="00E54209">
            <w:pPr>
              <w:rPr>
                <w:bCs/>
              </w:rPr>
            </w:pPr>
            <w:r w:rsidRPr="00E54209">
              <w:rPr>
                <w:bCs/>
              </w:rPr>
              <w:t>3. End date of public comment period:</w:t>
            </w:r>
          </w:p>
          <w:p w14:paraId="5C79190E" w14:textId="178E6415" w:rsidR="00825564" w:rsidRPr="00E54209" w:rsidRDefault="00825564" w:rsidP="00E54209">
            <w:pPr>
              <w:rPr>
                <w:bCs/>
                <w:color w:val="6E9699"/>
              </w:rPr>
            </w:pPr>
            <w:r w:rsidRPr="00E54209">
              <w:rPr>
                <w:bCs/>
                <w:color w:val="6E9699"/>
              </w:rPr>
              <w:t>Add 14 days to date in line 2.</w:t>
            </w:r>
          </w:p>
          <w:p w14:paraId="10A20B50" w14:textId="64C2203A" w:rsidR="00825564" w:rsidRPr="00D97CAF" w:rsidRDefault="00825564" w:rsidP="00E54209">
            <w:pPr>
              <w:rPr>
                <w:bCs/>
              </w:rPr>
            </w:pPr>
            <w:r w:rsidRPr="00E54209">
              <w:rPr>
                <w:bCs/>
              </w:rPr>
              <w:t xml:space="preserve">*Note </w:t>
            </w:r>
            <w:r>
              <w:rPr>
                <w:bCs/>
              </w:rPr>
              <w:t>comment periods cannot end on weekends or federal holidays. If this date falls on a weekend or federal holiday,</w:t>
            </w:r>
            <w:r w:rsidRPr="00E54209">
              <w:rPr>
                <w:bCs/>
              </w:rPr>
              <w:t xml:space="preserve"> </w:t>
            </w:r>
            <w:r>
              <w:rPr>
                <w:bCs/>
              </w:rPr>
              <w:t xml:space="preserve">enter the date of the </w:t>
            </w:r>
            <w:r w:rsidRPr="00E54209">
              <w:rPr>
                <w:bCs/>
              </w:rPr>
              <w:t>next business day.</w:t>
            </w:r>
          </w:p>
        </w:tc>
        <w:tc>
          <w:tcPr>
            <w:tcW w:w="771" w:type="pct"/>
          </w:tcPr>
          <w:p w14:paraId="3398C4D2" w14:textId="4004621E" w:rsidR="00825564" w:rsidRPr="00B44BAA" w:rsidRDefault="00825564" w:rsidP="00B44BAA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/>
            <w:tcBorders>
              <w:top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</w:tcPr>
          <w:p w14:paraId="6A1FD41A" w14:textId="77777777" w:rsidR="00825564" w:rsidRPr="00F03556" w:rsidRDefault="00825564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6E9699"/>
              <w:left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4101A690" w14:textId="2A607E9B" w:rsidR="00825564" w:rsidRPr="00825564" w:rsidRDefault="00825564" w:rsidP="00825564">
            <w:pPr>
              <w:ind w:left="113" w:right="113"/>
              <w:jc w:val="center"/>
              <w:rPr>
                <w:bCs/>
                <w:color w:val="6E9699"/>
              </w:rPr>
            </w:pPr>
            <w:r w:rsidRPr="00825564">
              <w:rPr>
                <w:bCs/>
                <w:color w:val="6E9699"/>
              </w:rPr>
              <w:t>Comment Review Period</w:t>
            </w:r>
          </w:p>
        </w:tc>
      </w:tr>
      <w:tr w:rsidR="00825564" w14:paraId="2723681B" w14:textId="775FB40E" w:rsidTr="00825564">
        <w:tc>
          <w:tcPr>
            <w:tcW w:w="3511" w:type="pct"/>
            <w:shd w:val="clear" w:color="auto" w:fill="auto"/>
          </w:tcPr>
          <w:p w14:paraId="700270B3" w14:textId="161DBA9A" w:rsidR="00825564" w:rsidRDefault="00825564" w:rsidP="004876D9">
            <w:pPr>
              <w:rPr>
                <w:bCs/>
              </w:rPr>
            </w:pPr>
            <w:r w:rsidRPr="004876D9">
              <w:rPr>
                <w:bCs/>
              </w:rPr>
              <w:t>4.</w:t>
            </w:r>
            <w:r>
              <w:rPr>
                <w:bCs/>
              </w:rPr>
              <w:t xml:space="preserve"> Date grantee</w:t>
            </w:r>
            <w:r w:rsidRPr="004876D9">
              <w:rPr>
                <w:bCs/>
              </w:rPr>
              <w:t xml:space="preserve"> can RROF</w:t>
            </w:r>
            <w:r>
              <w:rPr>
                <w:bCs/>
              </w:rPr>
              <w:t xml:space="preserve"> from Commerce or HUD as applicable:</w:t>
            </w:r>
          </w:p>
          <w:p w14:paraId="2CB43C54" w14:textId="78DD7637" w:rsidR="00825564" w:rsidRPr="00E54209" w:rsidRDefault="00825564" w:rsidP="004876D9">
            <w:pPr>
              <w:rPr>
                <w:bCs/>
              </w:rPr>
            </w:pPr>
            <w:r w:rsidRPr="004876D9">
              <w:rPr>
                <w:bCs/>
                <w:color w:val="6E9699"/>
              </w:rPr>
              <w:t>Add 1 day to date in line 3.</w:t>
            </w:r>
          </w:p>
        </w:tc>
        <w:tc>
          <w:tcPr>
            <w:tcW w:w="771" w:type="pct"/>
          </w:tcPr>
          <w:p w14:paraId="197B3816" w14:textId="0334F61D" w:rsidR="00825564" w:rsidRPr="00B44BAA" w:rsidRDefault="00825564" w:rsidP="00B44BAA">
            <w:pPr>
              <w:jc w:val="right"/>
              <w:rPr>
                <w:bCs/>
              </w:rPr>
            </w:pPr>
          </w:p>
        </w:tc>
        <w:tc>
          <w:tcPr>
            <w:tcW w:w="359" w:type="pct"/>
            <w:tcBorders>
              <w:top w:val="single" w:sz="4" w:space="0" w:color="6E9699"/>
              <w:bottom w:val="nil"/>
              <w:right w:val="nil"/>
            </w:tcBorders>
          </w:tcPr>
          <w:p w14:paraId="6BB2318F" w14:textId="77777777" w:rsidR="00825564" w:rsidRPr="00F03556" w:rsidRDefault="00825564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vMerge/>
            <w:tcBorders>
              <w:top w:val="nil"/>
              <w:left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</w:tcPr>
          <w:p w14:paraId="2D8B83CF" w14:textId="77777777" w:rsidR="00825564" w:rsidRPr="00F03556" w:rsidRDefault="00825564" w:rsidP="008A7735">
            <w:pPr>
              <w:rPr>
                <w:b/>
                <w:color w:val="6E9699"/>
              </w:rPr>
            </w:pPr>
          </w:p>
        </w:tc>
      </w:tr>
      <w:tr w:rsidR="00017488" w14:paraId="1E2B0E35" w14:textId="5C4C6674" w:rsidTr="00825564">
        <w:tc>
          <w:tcPr>
            <w:tcW w:w="3511" w:type="pct"/>
            <w:shd w:val="clear" w:color="auto" w:fill="auto"/>
          </w:tcPr>
          <w:p w14:paraId="5C840882" w14:textId="19251358" w:rsidR="00017488" w:rsidRDefault="00017488" w:rsidP="00094047">
            <w:pPr>
              <w:rPr>
                <w:bCs/>
              </w:rPr>
            </w:pPr>
            <w:r w:rsidRPr="00094047">
              <w:rPr>
                <w:bCs/>
              </w:rPr>
              <w:t>5.</w:t>
            </w:r>
            <w:r>
              <w:rPr>
                <w:bCs/>
              </w:rPr>
              <w:t xml:space="preserve"> </w:t>
            </w:r>
            <w:r w:rsidR="00B44BAA">
              <w:rPr>
                <w:bCs/>
              </w:rPr>
              <w:t>Transmittal date:</w:t>
            </w:r>
          </w:p>
          <w:p w14:paraId="42DC71BC" w14:textId="176CCF86" w:rsidR="00017488" w:rsidRPr="004876D9" w:rsidRDefault="00017488" w:rsidP="00094047">
            <w:pPr>
              <w:rPr>
                <w:bCs/>
              </w:rPr>
            </w:pPr>
            <w:r w:rsidRPr="00094047">
              <w:rPr>
                <w:bCs/>
                <w:color w:val="6E9699"/>
              </w:rPr>
              <w:t>Add 3 days to date in line 3.</w:t>
            </w:r>
            <w:r w:rsidRPr="00094047">
              <w:rPr>
                <w:bCs/>
              </w:rPr>
              <w:tab/>
            </w:r>
            <w:r w:rsidRPr="00094047">
              <w:rPr>
                <w:bCs/>
              </w:rPr>
              <w:tab/>
            </w:r>
          </w:p>
        </w:tc>
        <w:tc>
          <w:tcPr>
            <w:tcW w:w="771" w:type="pct"/>
          </w:tcPr>
          <w:p w14:paraId="1E041875" w14:textId="21D26884" w:rsidR="00017488" w:rsidRPr="00B44BAA" w:rsidRDefault="00017488" w:rsidP="00B44BAA">
            <w:pPr>
              <w:jc w:val="right"/>
              <w:rPr>
                <w:bCs/>
              </w:rPr>
            </w:pPr>
          </w:p>
        </w:tc>
        <w:tc>
          <w:tcPr>
            <w:tcW w:w="359" w:type="pct"/>
            <w:tcBorders>
              <w:top w:val="nil"/>
              <w:bottom w:val="single" w:sz="4" w:space="0" w:color="6E9699"/>
              <w:right w:val="nil"/>
            </w:tcBorders>
          </w:tcPr>
          <w:p w14:paraId="3CFB8FFD" w14:textId="77777777" w:rsidR="00017488" w:rsidRPr="00F03556" w:rsidRDefault="00017488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tcBorders>
              <w:top w:val="single" w:sz="4" w:space="0" w:color="6E9699"/>
              <w:left w:val="nil"/>
              <w:bottom w:val="nil"/>
              <w:right w:val="nil"/>
            </w:tcBorders>
          </w:tcPr>
          <w:p w14:paraId="7A034A34" w14:textId="77777777" w:rsidR="00017488" w:rsidRPr="00F03556" w:rsidRDefault="00017488" w:rsidP="008A7735">
            <w:pPr>
              <w:rPr>
                <w:b/>
                <w:color w:val="6E9699"/>
              </w:rPr>
            </w:pPr>
          </w:p>
        </w:tc>
      </w:tr>
      <w:tr w:rsidR="00825564" w14:paraId="4FFEEB64" w14:textId="6B429377" w:rsidTr="00825564">
        <w:tc>
          <w:tcPr>
            <w:tcW w:w="3511" w:type="pct"/>
            <w:shd w:val="clear" w:color="auto" w:fill="auto"/>
          </w:tcPr>
          <w:p w14:paraId="629FF3EE" w14:textId="7923077E" w:rsidR="00017488" w:rsidRDefault="00017488" w:rsidP="00094047">
            <w:pPr>
              <w:rPr>
                <w:bCs/>
              </w:rPr>
            </w:pPr>
            <w:r w:rsidRPr="00094047">
              <w:rPr>
                <w:bCs/>
              </w:rPr>
              <w:t>6.</w:t>
            </w:r>
            <w:r>
              <w:rPr>
                <w:bCs/>
              </w:rPr>
              <w:t xml:space="preserve"> </w:t>
            </w:r>
            <w:r w:rsidR="00B44BAA">
              <w:rPr>
                <w:bCs/>
              </w:rPr>
              <w:t xml:space="preserve">Start date of </w:t>
            </w:r>
            <w:r w:rsidRPr="00094047">
              <w:rPr>
                <w:bCs/>
              </w:rPr>
              <w:t>objection period</w:t>
            </w:r>
            <w:r w:rsidR="00B44BAA">
              <w:rPr>
                <w:bCs/>
              </w:rPr>
              <w:t>:</w:t>
            </w:r>
          </w:p>
          <w:p w14:paraId="59D6BE8B" w14:textId="3AF1BB80" w:rsidR="00017488" w:rsidRPr="004876D9" w:rsidRDefault="00017488" w:rsidP="00094047">
            <w:pPr>
              <w:rPr>
                <w:bCs/>
              </w:rPr>
            </w:pPr>
            <w:r w:rsidRPr="00094047">
              <w:rPr>
                <w:bCs/>
                <w:color w:val="6E9699"/>
              </w:rPr>
              <w:t>Add 1 day to date in line 5.</w:t>
            </w:r>
          </w:p>
        </w:tc>
        <w:tc>
          <w:tcPr>
            <w:tcW w:w="771" w:type="pct"/>
          </w:tcPr>
          <w:p w14:paraId="1E58CEB6" w14:textId="2000495A" w:rsidR="00017488" w:rsidRPr="00B44BAA" w:rsidRDefault="00017488" w:rsidP="00B44BAA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6E9699"/>
              <w:bottom w:val="single" w:sz="4" w:space="0" w:color="6E9699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51E1C711" w14:textId="3AC8061F" w:rsidR="00017488" w:rsidRPr="00017488" w:rsidRDefault="00CD658C" w:rsidP="00017488">
            <w:pPr>
              <w:ind w:left="113" w:right="113"/>
              <w:jc w:val="center"/>
              <w:rPr>
                <w:bCs/>
                <w:color w:val="6E9699"/>
              </w:rPr>
            </w:pPr>
            <w:r>
              <w:rPr>
                <w:bCs/>
                <w:color w:val="6E9699"/>
              </w:rPr>
              <w:t xml:space="preserve">15-Day </w:t>
            </w:r>
            <w:r w:rsidR="00017488" w:rsidRPr="00017488">
              <w:rPr>
                <w:bCs/>
                <w:color w:val="6E9699"/>
              </w:rPr>
              <w:t>Objection Period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74202FB1" w14:textId="77777777" w:rsidR="00017488" w:rsidRPr="00F03556" w:rsidRDefault="00017488" w:rsidP="008A7735">
            <w:pPr>
              <w:rPr>
                <w:b/>
                <w:color w:val="6E9699"/>
              </w:rPr>
            </w:pPr>
          </w:p>
        </w:tc>
      </w:tr>
      <w:tr w:rsidR="00017488" w14:paraId="2BF6470B" w14:textId="11D2960F" w:rsidTr="00825564">
        <w:tc>
          <w:tcPr>
            <w:tcW w:w="3511" w:type="pct"/>
            <w:shd w:val="clear" w:color="auto" w:fill="auto"/>
          </w:tcPr>
          <w:p w14:paraId="275D9E45" w14:textId="36A5FF88" w:rsidR="00017488" w:rsidRDefault="00017488" w:rsidP="00094047">
            <w:pPr>
              <w:rPr>
                <w:bCs/>
              </w:rPr>
            </w:pPr>
            <w:r w:rsidRPr="00094047">
              <w:rPr>
                <w:bCs/>
              </w:rPr>
              <w:t>7.</w:t>
            </w:r>
            <w:r>
              <w:rPr>
                <w:bCs/>
              </w:rPr>
              <w:t xml:space="preserve"> </w:t>
            </w:r>
            <w:r w:rsidRPr="00094047">
              <w:rPr>
                <w:bCs/>
              </w:rPr>
              <w:t xml:space="preserve">End </w:t>
            </w:r>
            <w:r w:rsidR="00B44BAA">
              <w:rPr>
                <w:bCs/>
              </w:rPr>
              <w:t xml:space="preserve">date </w:t>
            </w:r>
            <w:r w:rsidRPr="00094047">
              <w:rPr>
                <w:bCs/>
              </w:rPr>
              <w:t>of objection period</w:t>
            </w:r>
            <w:r w:rsidR="00B44BAA">
              <w:rPr>
                <w:bCs/>
              </w:rPr>
              <w:t>:</w:t>
            </w:r>
          </w:p>
          <w:p w14:paraId="09149FD6" w14:textId="7DAF8D70" w:rsidR="00017488" w:rsidRPr="00094047" w:rsidRDefault="00017488" w:rsidP="00094047">
            <w:pPr>
              <w:rPr>
                <w:bCs/>
                <w:color w:val="6E9699"/>
              </w:rPr>
            </w:pPr>
            <w:r w:rsidRPr="00094047">
              <w:rPr>
                <w:bCs/>
                <w:color w:val="6E9699"/>
              </w:rPr>
              <w:t xml:space="preserve">Add 14 days to date in </w:t>
            </w:r>
            <w:r>
              <w:rPr>
                <w:bCs/>
                <w:color w:val="6E9699"/>
              </w:rPr>
              <w:t xml:space="preserve">line </w:t>
            </w:r>
            <w:r w:rsidRPr="00094047">
              <w:rPr>
                <w:bCs/>
                <w:color w:val="6E9699"/>
              </w:rPr>
              <w:t>6.</w:t>
            </w:r>
          </w:p>
          <w:p w14:paraId="7A3644CB" w14:textId="551B7BE9" w:rsidR="00017488" w:rsidRPr="004876D9" w:rsidRDefault="00017488" w:rsidP="00094047">
            <w:pPr>
              <w:rPr>
                <w:bCs/>
              </w:rPr>
            </w:pPr>
            <w:r w:rsidRPr="00E54209">
              <w:rPr>
                <w:bCs/>
              </w:rPr>
              <w:t xml:space="preserve">*Note </w:t>
            </w:r>
            <w:r>
              <w:rPr>
                <w:bCs/>
              </w:rPr>
              <w:t>comment periods cannot end on weekends or federal holidays. If this date falls on a weekend or federal holiday,</w:t>
            </w:r>
            <w:r w:rsidRPr="00E54209">
              <w:rPr>
                <w:bCs/>
              </w:rPr>
              <w:t xml:space="preserve"> </w:t>
            </w:r>
            <w:r>
              <w:rPr>
                <w:bCs/>
              </w:rPr>
              <w:t xml:space="preserve">enter the date of the </w:t>
            </w:r>
            <w:r w:rsidRPr="00E54209">
              <w:rPr>
                <w:bCs/>
              </w:rPr>
              <w:t>next business day.</w:t>
            </w:r>
          </w:p>
        </w:tc>
        <w:tc>
          <w:tcPr>
            <w:tcW w:w="771" w:type="pct"/>
          </w:tcPr>
          <w:p w14:paraId="0EFA1B4E" w14:textId="460AD16B" w:rsidR="00017488" w:rsidRPr="00B44BAA" w:rsidRDefault="00017488" w:rsidP="00B44BAA">
            <w:pPr>
              <w:jc w:val="right"/>
              <w:rPr>
                <w:bCs/>
              </w:rPr>
            </w:pPr>
          </w:p>
        </w:tc>
        <w:tc>
          <w:tcPr>
            <w:tcW w:w="359" w:type="pct"/>
            <w:vMerge/>
            <w:tcBorders>
              <w:top w:val="nil"/>
              <w:bottom w:val="single" w:sz="4" w:space="0" w:color="6E9699"/>
              <w:right w:val="nil"/>
            </w:tcBorders>
            <w:shd w:val="clear" w:color="auto" w:fill="F2F2F2" w:themeFill="background1" w:themeFillShade="F2"/>
          </w:tcPr>
          <w:p w14:paraId="2C5893DC" w14:textId="77777777" w:rsidR="00017488" w:rsidRPr="00F03556" w:rsidRDefault="00017488" w:rsidP="008A7735">
            <w:pPr>
              <w:rPr>
                <w:b/>
                <w:color w:val="6E9699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14:paraId="56D3818F" w14:textId="77777777" w:rsidR="00017488" w:rsidRPr="00F03556" w:rsidRDefault="00017488" w:rsidP="008A7735">
            <w:pPr>
              <w:rPr>
                <w:b/>
                <w:color w:val="6E9699"/>
              </w:rPr>
            </w:pPr>
          </w:p>
        </w:tc>
      </w:tr>
    </w:tbl>
    <w:p w14:paraId="45D610C2" w14:textId="77777777" w:rsidR="00E54B5F" w:rsidRPr="00FD1836" w:rsidRDefault="00E54B5F" w:rsidP="00FD1836"/>
    <w:sectPr w:rsidR="00E54B5F" w:rsidRPr="00FD1836" w:rsidSect="0020362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23C6D" w14:textId="77777777" w:rsidR="00563C98" w:rsidRDefault="00563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0983948D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0B5C2F0E" w:rsidR="00154318" w:rsidRPr="00154318" w:rsidRDefault="00563C9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FE68DA">
          <w:rPr>
            <w:noProof/>
            <w:sz w:val="20"/>
          </w:rPr>
          <w:t>5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 xml:space="preserve">October </w:t>
        </w:r>
        <w:r w:rsidR="00154318">
          <w:rPr>
            <w:sz w:val="20"/>
          </w:rPr>
          <w:t>20</w:t>
        </w:r>
        <w:r w:rsidR="00D351D1">
          <w:rPr>
            <w:sz w:val="20"/>
          </w:rPr>
          <w:t>2</w:t>
        </w:r>
        <w:r w:rsidR="0020362F">
          <w:rPr>
            <w:sz w:val="20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911CE" w14:textId="77777777" w:rsidR="00563C98" w:rsidRDefault="0056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0520808C" w14:textId="07E39D3F" w:rsidR="008A0981" w:rsidRDefault="008A0981">
      <w:pPr>
        <w:pStyle w:val="FootnoteText"/>
      </w:pPr>
      <w:r>
        <w:rPr>
          <w:rStyle w:val="FootnoteReference"/>
        </w:rPr>
        <w:footnoteRef/>
      </w:r>
      <w:r>
        <w:t xml:space="preserve"> Designation by adopted resolution of ECO is not required when the ECO is the chief elected official.</w:t>
      </w:r>
    </w:p>
  </w:footnote>
  <w:footnote w:id="2">
    <w:p w14:paraId="08ABA4E0" w14:textId="77777777" w:rsidR="00DD0266" w:rsidRDefault="00DD0266" w:rsidP="00DD0266">
      <w:pPr>
        <w:pStyle w:val="FootnoteText"/>
      </w:pPr>
      <w:r>
        <w:rPr>
          <w:rStyle w:val="FootnoteReference"/>
        </w:rPr>
        <w:footnoteRef/>
      </w:r>
      <w:r>
        <w:t xml:space="preserve"> Designation by adopted resolution of ECO is not required when the ECO is the chief elected official.</w:t>
      </w:r>
    </w:p>
  </w:footnote>
  <w:footnote w:id="3">
    <w:p w14:paraId="2D65622C" w14:textId="77777777" w:rsidR="00E21C7F" w:rsidRDefault="00E21C7F" w:rsidP="00E21C7F">
      <w:pPr>
        <w:pStyle w:val="FootnoteText"/>
      </w:pPr>
      <w:r>
        <w:rPr>
          <w:rStyle w:val="FootnoteReference"/>
        </w:rPr>
        <w:footnoteRef/>
      </w:r>
      <w:r>
        <w:t xml:space="preserve"> If HOME funds are used in combination with CDBG funds, the Consolidated EA Form may be used in lieu of the Statutory Checklist and EA.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EA3E" w14:textId="77777777" w:rsidR="00563C98" w:rsidRDefault="00563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A66F1" w14:textId="77777777" w:rsidR="00563C98" w:rsidRDefault="00563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2A663" w14:textId="77777777" w:rsidR="00563C98" w:rsidRDefault="00563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827"/>
    <w:multiLevelType w:val="hybridMultilevel"/>
    <w:tmpl w:val="C034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F94"/>
    <w:multiLevelType w:val="hybridMultilevel"/>
    <w:tmpl w:val="36B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BC"/>
    <w:multiLevelType w:val="hybridMultilevel"/>
    <w:tmpl w:val="CD9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0814"/>
    <w:multiLevelType w:val="hybridMultilevel"/>
    <w:tmpl w:val="119E5F9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5BBE"/>
    <w:multiLevelType w:val="hybridMultilevel"/>
    <w:tmpl w:val="47B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66D"/>
    <w:multiLevelType w:val="hybridMultilevel"/>
    <w:tmpl w:val="4E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602"/>
    <w:multiLevelType w:val="hybridMultilevel"/>
    <w:tmpl w:val="96C0BA8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412D"/>
    <w:multiLevelType w:val="hybridMultilevel"/>
    <w:tmpl w:val="28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23A3"/>
    <w:multiLevelType w:val="hybridMultilevel"/>
    <w:tmpl w:val="9F9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2B31"/>
    <w:multiLevelType w:val="hybridMultilevel"/>
    <w:tmpl w:val="832C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18DB"/>
    <w:multiLevelType w:val="hybridMultilevel"/>
    <w:tmpl w:val="62745A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843E67"/>
    <w:multiLevelType w:val="hybridMultilevel"/>
    <w:tmpl w:val="88DE101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57E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90660"/>
    <w:multiLevelType w:val="hybridMultilevel"/>
    <w:tmpl w:val="5B16C056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C6E74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A67AD"/>
    <w:multiLevelType w:val="hybridMultilevel"/>
    <w:tmpl w:val="4B6C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E07"/>
    <w:multiLevelType w:val="hybridMultilevel"/>
    <w:tmpl w:val="CC38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DF5C15"/>
    <w:multiLevelType w:val="hybridMultilevel"/>
    <w:tmpl w:val="C21C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57A7A"/>
    <w:multiLevelType w:val="hybridMultilevel"/>
    <w:tmpl w:val="30F8099E"/>
    <w:lvl w:ilvl="0" w:tplc="13285C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6506F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2006B"/>
    <w:multiLevelType w:val="hybridMultilevel"/>
    <w:tmpl w:val="6E9A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D45E9"/>
    <w:multiLevelType w:val="hybridMultilevel"/>
    <w:tmpl w:val="DA3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1E0C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92198"/>
    <w:multiLevelType w:val="hybridMultilevel"/>
    <w:tmpl w:val="2EA0FA68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25C8D"/>
    <w:multiLevelType w:val="hybridMultilevel"/>
    <w:tmpl w:val="C862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7150"/>
    <w:multiLevelType w:val="hybridMultilevel"/>
    <w:tmpl w:val="AA4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22F92"/>
    <w:multiLevelType w:val="hybridMultilevel"/>
    <w:tmpl w:val="573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82C0D"/>
    <w:multiLevelType w:val="hybridMultilevel"/>
    <w:tmpl w:val="62F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A25"/>
    <w:multiLevelType w:val="hybridMultilevel"/>
    <w:tmpl w:val="77F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0140"/>
    <w:multiLevelType w:val="hybridMultilevel"/>
    <w:tmpl w:val="9C0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46603"/>
    <w:multiLevelType w:val="hybridMultilevel"/>
    <w:tmpl w:val="818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96DB6"/>
    <w:multiLevelType w:val="hybridMultilevel"/>
    <w:tmpl w:val="6B8C30A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E1AC1"/>
    <w:multiLevelType w:val="hybridMultilevel"/>
    <w:tmpl w:val="476E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A256F"/>
    <w:multiLevelType w:val="hybridMultilevel"/>
    <w:tmpl w:val="9A1A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6CA5"/>
    <w:multiLevelType w:val="hybridMultilevel"/>
    <w:tmpl w:val="6BEC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A65536"/>
    <w:multiLevelType w:val="hybridMultilevel"/>
    <w:tmpl w:val="62E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1598"/>
    <w:multiLevelType w:val="hybridMultilevel"/>
    <w:tmpl w:val="BC1C010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4BB2"/>
    <w:multiLevelType w:val="hybridMultilevel"/>
    <w:tmpl w:val="4840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D19A0"/>
    <w:multiLevelType w:val="hybridMultilevel"/>
    <w:tmpl w:val="DC2E93E8"/>
    <w:lvl w:ilvl="0" w:tplc="93C0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307AA"/>
    <w:multiLevelType w:val="hybridMultilevel"/>
    <w:tmpl w:val="1C6A6444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4506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060A2"/>
    <w:multiLevelType w:val="hybridMultilevel"/>
    <w:tmpl w:val="C07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E6D43"/>
    <w:multiLevelType w:val="hybridMultilevel"/>
    <w:tmpl w:val="CEAC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04BB7"/>
    <w:multiLevelType w:val="hybridMultilevel"/>
    <w:tmpl w:val="D600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10AD"/>
    <w:multiLevelType w:val="hybridMultilevel"/>
    <w:tmpl w:val="FC90A6FA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A797B"/>
    <w:multiLevelType w:val="hybridMultilevel"/>
    <w:tmpl w:val="56660AB2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87CFD"/>
    <w:multiLevelType w:val="hybridMultilevel"/>
    <w:tmpl w:val="85BA980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1"/>
  </w:num>
  <w:num w:numId="4">
    <w:abstractNumId w:val="19"/>
  </w:num>
  <w:num w:numId="5">
    <w:abstractNumId w:val="35"/>
  </w:num>
  <w:num w:numId="6">
    <w:abstractNumId w:val="8"/>
  </w:num>
  <w:num w:numId="7">
    <w:abstractNumId w:val="31"/>
  </w:num>
  <w:num w:numId="8">
    <w:abstractNumId w:val="4"/>
  </w:num>
  <w:num w:numId="9">
    <w:abstractNumId w:val="17"/>
  </w:num>
  <w:num w:numId="10">
    <w:abstractNumId w:val="7"/>
  </w:num>
  <w:num w:numId="11">
    <w:abstractNumId w:val="5"/>
  </w:num>
  <w:num w:numId="12">
    <w:abstractNumId w:val="42"/>
  </w:num>
  <w:num w:numId="13">
    <w:abstractNumId w:val="39"/>
  </w:num>
  <w:num w:numId="14">
    <w:abstractNumId w:val="0"/>
  </w:num>
  <w:num w:numId="15">
    <w:abstractNumId w:val="45"/>
  </w:num>
  <w:num w:numId="16">
    <w:abstractNumId w:val="43"/>
  </w:num>
  <w:num w:numId="17">
    <w:abstractNumId w:val="11"/>
  </w:num>
  <w:num w:numId="18">
    <w:abstractNumId w:val="44"/>
  </w:num>
  <w:num w:numId="19">
    <w:abstractNumId w:val="32"/>
  </w:num>
  <w:num w:numId="20">
    <w:abstractNumId w:val="47"/>
  </w:num>
  <w:num w:numId="21">
    <w:abstractNumId w:val="21"/>
  </w:num>
  <w:num w:numId="22">
    <w:abstractNumId w:val="34"/>
  </w:num>
  <w:num w:numId="23">
    <w:abstractNumId w:val="20"/>
  </w:num>
  <w:num w:numId="24">
    <w:abstractNumId w:val="12"/>
  </w:num>
  <w:num w:numId="25">
    <w:abstractNumId w:val="38"/>
  </w:num>
  <w:num w:numId="26">
    <w:abstractNumId w:val="28"/>
  </w:num>
  <w:num w:numId="27">
    <w:abstractNumId w:val="18"/>
  </w:num>
  <w:num w:numId="28">
    <w:abstractNumId w:val="9"/>
  </w:num>
  <w:num w:numId="29">
    <w:abstractNumId w:val="25"/>
  </w:num>
  <w:num w:numId="30">
    <w:abstractNumId w:val="40"/>
  </w:num>
  <w:num w:numId="31">
    <w:abstractNumId w:val="13"/>
  </w:num>
  <w:num w:numId="32">
    <w:abstractNumId w:val="24"/>
  </w:num>
  <w:num w:numId="33">
    <w:abstractNumId w:val="46"/>
  </w:num>
  <w:num w:numId="34">
    <w:abstractNumId w:val="27"/>
  </w:num>
  <w:num w:numId="35">
    <w:abstractNumId w:val="15"/>
  </w:num>
  <w:num w:numId="36">
    <w:abstractNumId w:val="2"/>
  </w:num>
  <w:num w:numId="37">
    <w:abstractNumId w:val="22"/>
  </w:num>
  <w:num w:numId="38">
    <w:abstractNumId w:val="29"/>
  </w:num>
  <w:num w:numId="39">
    <w:abstractNumId w:val="26"/>
  </w:num>
  <w:num w:numId="40">
    <w:abstractNumId w:val="33"/>
  </w:num>
  <w:num w:numId="41">
    <w:abstractNumId w:val="10"/>
  </w:num>
  <w:num w:numId="42">
    <w:abstractNumId w:val="36"/>
  </w:num>
  <w:num w:numId="43">
    <w:abstractNumId w:val="3"/>
  </w:num>
  <w:num w:numId="44">
    <w:abstractNumId w:val="16"/>
  </w:num>
  <w:num w:numId="45">
    <w:abstractNumId w:val="6"/>
  </w:num>
  <w:num w:numId="46">
    <w:abstractNumId w:val="37"/>
  </w:num>
  <w:num w:numId="47">
    <w:abstractNumId w:val="23"/>
  </w:num>
  <w:num w:numId="48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5016"/>
    <w:rsid w:val="00015024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258D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FCE"/>
    <w:rsid w:val="00130099"/>
    <w:rsid w:val="00130C7E"/>
    <w:rsid w:val="00130F02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5A"/>
    <w:rsid w:val="00143D82"/>
    <w:rsid w:val="001444AD"/>
    <w:rsid w:val="0014476B"/>
    <w:rsid w:val="001452B7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520B"/>
    <w:rsid w:val="001D67B2"/>
    <w:rsid w:val="001D7D8D"/>
    <w:rsid w:val="001D7FD6"/>
    <w:rsid w:val="001E1468"/>
    <w:rsid w:val="001E28DF"/>
    <w:rsid w:val="001E3EB2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62F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6276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451A"/>
    <w:rsid w:val="00467573"/>
    <w:rsid w:val="0046798A"/>
    <w:rsid w:val="0047177D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3C98"/>
    <w:rsid w:val="00566AC9"/>
    <w:rsid w:val="005677B0"/>
    <w:rsid w:val="00567941"/>
    <w:rsid w:val="00567E8D"/>
    <w:rsid w:val="005710EC"/>
    <w:rsid w:val="00572C9F"/>
    <w:rsid w:val="00574462"/>
    <w:rsid w:val="005744AF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F0501"/>
    <w:rsid w:val="005F0D02"/>
    <w:rsid w:val="005F13AC"/>
    <w:rsid w:val="005F1B8A"/>
    <w:rsid w:val="005F3846"/>
    <w:rsid w:val="005F3DDF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B6B"/>
    <w:rsid w:val="00630468"/>
    <w:rsid w:val="00632614"/>
    <w:rsid w:val="00632D00"/>
    <w:rsid w:val="00633982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831"/>
    <w:rsid w:val="006B7954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3B58"/>
    <w:rsid w:val="006E45F8"/>
    <w:rsid w:val="006E6CC6"/>
    <w:rsid w:val="006F0191"/>
    <w:rsid w:val="006F026E"/>
    <w:rsid w:val="006F05A9"/>
    <w:rsid w:val="006F2F31"/>
    <w:rsid w:val="006F3561"/>
    <w:rsid w:val="006F4877"/>
    <w:rsid w:val="006F5154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D46"/>
    <w:rsid w:val="009063A0"/>
    <w:rsid w:val="0090678B"/>
    <w:rsid w:val="00906CE5"/>
    <w:rsid w:val="00906D9E"/>
    <w:rsid w:val="0090704F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3F2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A90"/>
    <w:rsid w:val="00C3524B"/>
    <w:rsid w:val="00C3543A"/>
    <w:rsid w:val="00C3566F"/>
    <w:rsid w:val="00C35FA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5AC4"/>
    <w:rsid w:val="00D75E7C"/>
    <w:rsid w:val="00D760CE"/>
    <w:rsid w:val="00D77B9C"/>
    <w:rsid w:val="00D8195B"/>
    <w:rsid w:val="00D82202"/>
    <w:rsid w:val="00D8303E"/>
    <w:rsid w:val="00D83AD1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6509"/>
    <w:rsid w:val="00DC7D4E"/>
    <w:rsid w:val="00DD0266"/>
    <w:rsid w:val="00DD0A4A"/>
    <w:rsid w:val="00DD0DF2"/>
    <w:rsid w:val="00DD1402"/>
    <w:rsid w:val="00DD2B93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80CA5"/>
    <w:rsid w:val="00E8114B"/>
    <w:rsid w:val="00E8117C"/>
    <w:rsid w:val="00E81B7C"/>
    <w:rsid w:val="00E81C94"/>
    <w:rsid w:val="00E8447E"/>
    <w:rsid w:val="00E8574D"/>
    <w:rsid w:val="00E85C8A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9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udexchange.info/environmental-review/asd-calculator/" TargetMode="External"/><Relationship Id="rId18" Type="http://schemas.openxmlformats.org/officeDocument/2006/relationships/hyperlink" Target="https://www.hudexchange.info/resource/3191/early-notice-and-public-review-of-a-proposed-activity-floodplain/" TargetMode="External"/><Relationship Id="rId26" Type="http://schemas.openxmlformats.org/officeDocument/2006/relationships/hyperlink" Target="https://www.hudexchange.info/programs/environmental-review/noise-abatement-and-control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hudexchange.info/resource/2602/hud-form-701516-authority-use-grant-funds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hudexchange.info/programs/environmental-review/floodplain-management/" TargetMode="External"/><Relationship Id="rId20" Type="http://schemas.openxmlformats.org/officeDocument/2006/relationships/hyperlink" Target="https://www.hudexchange.info/resource/2338/hud-form-701515-request-release-funds-certification/" TargetMode="External"/><Relationship Id="rId29" Type="http://schemas.openxmlformats.org/officeDocument/2006/relationships/hyperlink" Target="https://www.hudexchange.info/resource/3191/early-notice-and-public-review-of-a-proposed-activity-floodplain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udexchange.info/programs/environmental-review/federal-related-laws-and-authorities/" TargetMode="External"/><Relationship Id="rId24" Type="http://schemas.openxmlformats.org/officeDocument/2006/relationships/hyperlink" Target="https://www.hudexchange.info/programs/environmental-review/explosive-and-flammable-facilities/" TargetMode="External"/><Relationship Id="rId32" Type="http://schemas.openxmlformats.org/officeDocument/2006/relationships/hyperlink" Target="https://www.hudexchange.info/resource/2338/hud-form-701515-request-release-funds-certification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hudexchange.info/programs/environmental-review/daynight-noise-level-electronic-assessment-tool/" TargetMode="External"/><Relationship Id="rId23" Type="http://schemas.openxmlformats.org/officeDocument/2006/relationships/hyperlink" Target="https://www.hudexchange.info/programs/environmental-review/federal-related-laws-and-authorities/" TargetMode="External"/><Relationship Id="rId28" Type="http://schemas.openxmlformats.org/officeDocument/2006/relationships/hyperlink" Target="https://www.hudexchange.info/programs/environmental-review/floodplain-management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hudexchange.info/resource/3139/part-58-environmental-review-cest-format/" TargetMode="External"/><Relationship Id="rId19" Type="http://schemas.openxmlformats.org/officeDocument/2006/relationships/hyperlink" Target="https://www.hudexchange.info/resource/2754/sample-notice-of-intent-to-request-release-of-funds/" TargetMode="External"/><Relationship Id="rId31" Type="http://schemas.openxmlformats.org/officeDocument/2006/relationships/hyperlink" Target="https://www.hudexchange.info/resource/2755/sample-fonsi-and-rro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exchange.info/resource/3141/part-58-environmental-review-exempt-or-censt-format/" TargetMode="External"/><Relationship Id="rId14" Type="http://schemas.openxmlformats.org/officeDocument/2006/relationships/hyperlink" Target="https://www.hudexchange.info/programs/environmental-review/noise-abatement-and-control/" TargetMode="External"/><Relationship Id="rId22" Type="http://schemas.openxmlformats.org/officeDocument/2006/relationships/hyperlink" Target="https://www.hudexchange.info/resource/3140/part-58-environmental-assessment-form/" TargetMode="External"/><Relationship Id="rId27" Type="http://schemas.openxmlformats.org/officeDocument/2006/relationships/hyperlink" Target="https://www.hudexchange.info/programs/environmental-review/daynight-noise-level-electronic-assessment-tool/" TargetMode="External"/><Relationship Id="rId30" Type="http://schemas.openxmlformats.org/officeDocument/2006/relationships/hyperlink" Target="https://www.hudexchange.info/resource/3191/early-notice-and-public-review-of-a-proposed-activity-floodplain/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hudexchange.info/resource/3141/part-58-environmental-review-exempt-or-censt-forma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hudexchange.info/programs/environmental-review/explosive-and-flammable-facilities/" TargetMode="External"/><Relationship Id="rId17" Type="http://schemas.openxmlformats.org/officeDocument/2006/relationships/hyperlink" Target="https://www.hudexchange.info/resource/3191/early-notice-and-public-review-of-a-proposed-activity-floodplain/" TargetMode="External"/><Relationship Id="rId25" Type="http://schemas.openxmlformats.org/officeDocument/2006/relationships/hyperlink" Target="https://www.hudexchange.info/environmental-review/asd-calculator/" TargetMode="External"/><Relationship Id="rId33" Type="http://schemas.openxmlformats.org/officeDocument/2006/relationships/hyperlink" Target="https://www.hudexchange.info/resource/2602/hud-form-701516-authority-use-grant-funds/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F013-35E5-4A00-80B9-D75F518D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5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58 Environmental Review Process and Resources (HOME)</dc:title>
  <dc:subject/>
  <dc:creator>Flynn, Julie;Montana Department of Commerce</dc:creator>
  <cp:keywords>HOME, HTF, Part58, Environmental, Manual, Tools, Resources</cp:keywords>
  <dc:description/>
  <cp:lastModifiedBy>Wadsworth, Theresa</cp:lastModifiedBy>
  <cp:revision>242</cp:revision>
  <cp:lastPrinted>2019-09-03T17:29:00Z</cp:lastPrinted>
  <dcterms:created xsi:type="dcterms:W3CDTF">2019-08-30T20:53:00Z</dcterms:created>
  <dcterms:modified xsi:type="dcterms:W3CDTF">2021-09-24T16:31:00Z</dcterms:modified>
</cp:coreProperties>
</file>