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B21C2" w14:textId="77777777" w:rsidR="008C4F3C" w:rsidRDefault="00A83755" w:rsidP="008C4F3C">
      <w:pPr>
        <w:pStyle w:val="Default"/>
        <w:jc w:val="both"/>
      </w:pPr>
      <w:r>
        <w:t>TEMPLATE</w:t>
      </w:r>
    </w:p>
    <w:p w14:paraId="34FB0950" w14:textId="77777777" w:rsidR="00A83755" w:rsidRDefault="00A83755" w:rsidP="008C4F3C">
      <w:pPr>
        <w:pStyle w:val="Default"/>
        <w:spacing w:line="276" w:lineRule="auto"/>
        <w:jc w:val="center"/>
        <w:rPr>
          <w:b/>
          <w:bCs/>
          <w:sz w:val="22"/>
          <w:szCs w:val="22"/>
        </w:rPr>
      </w:pPr>
      <w:r w:rsidRPr="00A83755">
        <w:rPr>
          <w:b/>
          <w:bCs/>
          <w:sz w:val="22"/>
          <w:szCs w:val="22"/>
        </w:rPr>
        <w:t>[GRANTEE CITY, TOWN OR COUNTY]</w:t>
      </w:r>
      <w:r w:rsidR="008C4F3C">
        <w:rPr>
          <w:b/>
          <w:bCs/>
          <w:sz w:val="22"/>
          <w:szCs w:val="22"/>
        </w:rPr>
        <w:t xml:space="preserve"> </w:t>
      </w:r>
    </w:p>
    <w:p w14:paraId="1DA10307" w14:textId="77777777" w:rsidR="008C4F3C" w:rsidRDefault="008C4F3C" w:rsidP="008C4F3C">
      <w:pPr>
        <w:pStyle w:val="Default"/>
        <w:spacing w:line="276" w:lineRule="auto"/>
        <w:jc w:val="center"/>
        <w:rPr>
          <w:b/>
          <w:bCs/>
          <w:sz w:val="22"/>
          <w:szCs w:val="22"/>
        </w:rPr>
      </w:pPr>
      <w:r>
        <w:rPr>
          <w:b/>
          <w:bCs/>
          <w:sz w:val="22"/>
          <w:szCs w:val="22"/>
        </w:rPr>
        <w:t>RESIDENTIAL ANTIDISPLACEMENT AND RELOCATION ASSISTANCE PLAN</w:t>
      </w:r>
    </w:p>
    <w:p w14:paraId="44FDE987" w14:textId="77777777" w:rsidR="008C4F3C" w:rsidRDefault="008C4F3C" w:rsidP="008C4F3C">
      <w:pPr>
        <w:pStyle w:val="Default"/>
        <w:spacing w:line="276" w:lineRule="auto"/>
        <w:jc w:val="both"/>
        <w:rPr>
          <w:sz w:val="22"/>
          <w:szCs w:val="22"/>
        </w:rPr>
      </w:pPr>
      <w:r>
        <w:rPr>
          <w:b/>
          <w:bCs/>
          <w:sz w:val="22"/>
          <w:szCs w:val="22"/>
        </w:rPr>
        <w:t xml:space="preserve"> </w:t>
      </w:r>
    </w:p>
    <w:p w14:paraId="5BF4AC8B" w14:textId="77777777" w:rsidR="008C4F3C" w:rsidRDefault="008C4F3C" w:rsidP="008C4F3C">
      <w:pPr>
        <w:pStyle w:val="Default"/>
        <w:spacing w:line="276" w:lineRule="auto"/>
        <w:jc w:val="both"/>
        <w:rPr>
          <w:sz w:val="22"/>
          <w:szCs w:val="22"/>
        </w:rPr>
      </w:pPr>
      <w:r>
        <w:rPr>
          <w:sz w:val="22"/>
          <w:szCs w:val="22"/>
        </w:rPr>
        <w:t xml:space="preserve">This Residential Anti-displacement and Relocation Assistance Plan is prepared by the </w:t>
      </w:r>
      <w:r w:rsidR="00A979D2">
        <w:rPr>
          <w:sz w:val="22"/>
          <w:szCs w:val="22"/>
        </w:rPr>
        <w:t>Montana Department of Commerce (MDOC)</w:t>
      </w:r>
      <w:r w:rsidR="00A83755">
        <w:rPr>
          <w:sz w:val="22"/>
          <w:szCs w:val="22"/>
        </w:rPr>
        <w:t xml:space="preserve"> and [GRANTEE CITY, TOWN, OR COUNTY]</w:t>
      </w:r>
      <w:r w:rsidR="00A979D2">
        <w:rPr>
          <w:sz w:val="22"/>
          <w:szCs w:val="22"/>
        </w:rPr>
        <w:t xml:space="preserve"> </w:t>
      </w:r>
      <w:r>
        <w:rPr>
          <w:sz w:val="22"/>
          <w:szCs w:val="22"/>
        </w:rPr>
        <w:t xml:space="preserve">in accordance </w:t>
      </w:r>
      <w:r w:rsidR="00812491">
        <w:rPr>
          <w:sz w:val="22"/>
          <w:szCs w:val="22"/>
        </w:rPr>
        <w:t xml:space="preserve">with </w:t>
      </w:r>
      <w:r w:rsidR="00A00800">
        <w:rPr>
          <w:sz w:val="22"/>
          <w:szCs w:val="22"/>
        </w:rPr>
        <w:t>HUD regulations at 24 CFR 42</w:t>
      </w:r>
      <w:r>
        <w:rPr>
          <w:sz w:val="22"/>
          <w:szCs w:val="22"/>
        </w:rPr>
        <w:t xml:space="preserve"> and is applicable to programs and projects</w:t>
      </w:r>
      <w:r w:rsidR="00812491">
        <w:rPr>
          <w:sz w:val="22"/>
          <w:szCs w:val="22"/>
        </w:rPr>
        <w:t xml:space="preserve"> assisted with HUD funding</w:t>
      </w:r>
      <w:r>
        <w:rPr>
          <w:sz w:val="22"/>
          <w:szCs w:val="22"/>
        </w:rPr>
        <w:t xml:space="preserve">. </w:t>
      </w:r>
    </w:p>
    <w:p w14:paraId="548C3BCB" w14:textId="77777777" w:rsidR="008C4F3C" w:rsidRDefault="008C4F3C" w:rsidP="008C4F3C">
      <w:pPr>
        <w:pStyle w:val="Default"/>
        <w:spacing w:line="276" w:lineRule="auto"/>
        <w:jc w:val="both"/>
        <w:rPr>
          <w:b/>
          <w:bCs/>
          <w:sz w:val="22"/>
          <w:szCs w:val="22"/>
        </w:rPr>
      </w:pPr>
    </w:p>
    <w:p w14:paraId="22DEB8C9" w14:textId="77777777" w:rsidR="006C11B4" w:rsidRDefault="008C4F3C" w:rsidP="008C4F3C">
      <w:pPr>
        <w:pStyle w:val="Default"/>
        <w:spacing w:line="276" w:lineRule="auto"/>
        <w:jc w:val="both"/>
        <w:rPr>
          <w:b/>
          <w:bCs/>
          <w:sz w:val="22"/>
          <w:szCs w:val="22"/>
        </w:rPr>
      </w:pPr>
      <w:r>
        <w:rPr>
          <w:b/>
          <w:bCs/>
          <w:sz w:val="22"/>
          <w:szCs w:val="22"/>
        </w:rPr>
        <w:t>Minimize Displacement</w:t>
      </w:r>
    </w:p>
    <w:p w14:paraId="5563A8EC" w14:textId="77777777" w:rsidR="008C4F3C" w:rsidRDefault="008C4F3C" w:rsidP="008C4F3C">
      <w:pPr>
        <w:pStyle w:val="Default"/>
        <w:spacing w:line="276" w:lineRule="auto"/>
        <w:jc w:val="both"/>
        <w:rPr>
          <w:sz w:val="22"/>
          <w:szCs w:val="22"/>
        </w:rPr>
      </w:pPr>
      <w:r>
        <w:rPr>
          <w:b/>
          <w:bCs/>
          <w:sz w:val="22"/>
          <w:szCs w:val="22"/>
        </w:rPr>
        <w:t xml:space="preserve"> </w:t>
      </w:r>
    </w:p>
    <w:p w14:paraId="6B543E86" w14:textId="77777777" w:rsidR="008C4F3C" w:rsidRDefault="008C4F3C" w:rsidP="008C4F3C">
      <w:pPr>
        <w:pStyle w:val="Default"/>
        <w:spacing w:line="276" w:lineRule="auto"/>
        <w:jc w:val="both"/>
        <w:rPr>
          <w:sz w:val="22"/>
          <w:szCs w:val="22"/>
        </w:rPr>
      </w:pPr>
      <w:r>
        <w:rPr>
          <w:sz w:val="22"/>
          <w:szCs w:val="22"/>
        </w:rPr>
        <w:t xml:space="preserve">Consistent with the goals and objectives of activities assisted under the Act, </w:t>
      </w:r>
      <w:r w:rsidR="00A979D2">
        <w:rPr>
          <w:sz w:val="22"/>
          <w:szCs w:val="22"/>
        </w:rPr>
        <w:t>[GRANTEE CITY, TOWN</w:t>
      </w:r>
      <w:r w:rsidR="00A83755">
        <w:rPr>
          <w:sz w:val="22"/>
          <w:szCs w:val="22"/>
        </w:rPr>
        <w:t>,</w:t>
      </w:r>
      <w:r w:rsidR="00A979D2">
        <w:rPr>
          <w:sz w:val="22"/>
          <w:szCs w:val="22"/>
        </w:rPr>
        <w:t xml:space="preserve"> OR COUNTY]</w:t>
      </w:r>
      <w:r>
        <w:rPr>
          <w:sz w:val="22"/>
          <w:szCs w:val="22"/>
        </w:rPr>
        <w:t xml:space="preserve"> will implement policies to minimize the direct and indirect displacement of persons (families, individuals, businesses, for-profit organizations, not-for-profit organizations and farms) from their homes and neighborhoods </w:t>
      </w:r>
      <w:proofErr w:type="gramStart"/>
      <w:r>
        <w:rPr>
          <w:sz w:val="22"/>
          <w:szCs w:val="22"/>
        </w:rPr>
        <w:t>as a result of</w:t>
      </w:r>
      <w:proofErr w:type="gramEnd"/>
      <w:r>
        <w:rPr>
          <w:sz w:val="22"/>
          <w:szCs w:val="22"/>
        </w:rPr>
        <w:t xml:space="preserve"> assisted activities including: </w:t>
      </w:r>
    </w:p>
    <w:p w14:paraId="19EF7DE3" w14:textId="77777777" w:rsidR="008C4F3C" w:rsidRDefault="008C4F3C" w:rsidP="008C4F3C">
      <w:pPr>
        <w:pStyle w:val="Default"/>
        <w:spacing w:line="276" w:lineRule="auto"/>
        <w:jc w:val="both"/>
        <w:rPr>
          <w:sz w:val="22"/>
          <w:szCs w:val="22"/>
        </w:rPr>
      </w:pPr>
    </w:p>
    <w:p w14:paraId="13BD33D3" w14:textId="77777777" w:rsidR="008C4F3C" w:rsidRDefault="008C4F3C" w:rsidP="008C4F3C">
      <w:pPr>
        <w:pStyle w:val="Default"/>
        <w:numPr>
          <w:ilvl w:val="0"/>
          <w:numId w:val="3"/>
        </w:numPr>
        <w:spacing w:line="276" w:lineRule="auto"/>
        <w:jc w:val="both"/>
        <w:rPr>
          <w:sz w:val="22"/>
          <w:szCs w:val="22"/>
        </w:rPr>
      </w:pPr>
      <w:r>
        <w:rPr>
          <w:sz w:val="22"/>
          <w:szCs w:val="22"/>
        </w:rPr>
        <w:t xml:space="preserve">Encouraging (alternate; mandate) its </w:t>
      </w:r>
      <w:r w:rsidR="00A83755">
        <w:rPr>
          <w:sz w:val="22"/>
          <w:szCs w:val="22"/>
        </w:rPr>
        <w:t xml:space="preserve">subrecipient </w:t>
      </w:r>
      <w:r>
        <w:rPr>
          <w:sz w:val="22"/>
          <w:szCs w:val="22"/>
        </w:rPr>
        <w:t xml:space="preserve">partners to stage rehabilitation of apartment units to allow tenants to remain in the building/complex during and after the rehabilitation, working with empty units first. </w:t>
      </w:r>
    </w:p>
    <w:p w14:paraId="5C79EEA2" w14:textId="77777777" w:rsidR="008C4F3C" w:rsidRDefault="008C4F3C" w:rsidP="008C4F3C">
      <w:pPr>
        <w:pStyle w:val="Default"/>
        <w:numPr>
          <w:ilvl w:val="0"/>
          <w:numId w:val="2"/>
        </w:numPr>
        <w:spacing w:line="276" w:lineRule="auto"/>
        <w:jc w:val="both"/>
        <w:rPr>
          <w:sz w:val="22"/>
          <w:szCs w:val="22"/>
        </w:rPr>
      </w:pPr>
      <w:r>
        <w:rPr>
          <w:sz w:val="22"/>
          <w:szCs w:val="22"/>
        </w:rPr>
        <w:t xml:space="preserve">Assisting its </w:t>
      </w:r>
      <w:r w:rsidR="00A83755">
        <w:rPr>
          <w:sz w:val="22"/>
          <w:szCs w:val="22"/>
        </w:rPr>
        <w:t>subrecipient</w:t>
      </w:r>
      <w:r>
        <w:rPr>
          <w:sz w:val="22"/>
          <w:szCs w:val="22"/>
        </w:rPr>
        <w:t xml:space="preserve"> partners with locating facilities to house persons who must be relocated temporarily during rehabilitation by offering vacant units in other regulated properties in the immediate area, if any. </w:t>
      </w:r>
    </w:p>
    <w:p w14:paraId="4CC4938B" w14:textId="77777777" w:rsidR="008C4F3C" w:rsidRDefault="008C4F3C" w:rsidP="008C4F3C">
      <w:pPr>
        <w:pStyle w:val="Default"/>
        <w:numPr>
          <w:ilvl w:val="0"/>
          <w:numId w:val="2"/>
        </w:numPr>
        <w:spacing w:line="276" w:lineRule="auto"/>
        <w:jc w:val="both"/>
        <w:rPr>
          <w:sz w:val="22"/>
          <w:szCs w:val="22"/>
        </w:rPr>
      </w:pPr>
      <w:r w:rsidRPr="008C4F3C">
        <w:rPr>
          <w:sz w:val="22"/>
          <w:szCs w:val="22"/>
        </w:rPr>
        <w:t xml:space="preserve">Supporting local efforts to enact tax assessment policies which reduce the impact of potentially increasing property tax assessments on lower income owner-occupants or tenants in revitalizing areas. </w:t>
      </w:r>
    </w:p>
    <w:p w14:paraId="2C5D1B68" w14:textId="77777777" w:rsidR="008C4F3C" w:rsidRDefault="008C4F3C" w:rsidP="008C4F3C">
      <w:pPr>
        <w:pStyle w:val="Default"/>
        <w:numPr>
          <w:ilvl w:val="0"/>
          <w:numId w:val="2"/>
        </w:numPr>
        <w:spacing w:line="276" w:lineRule="auto"/>
        <w:jc w:val="both"/>
        <w:rPr>
          <w:sz w:val="22"/>
          <w:szCs w:val="22"/>
        </w:rPr>
      </w:pPr>
      <w:r w:rsidRPr="008C4F3C">
        <w:rPr>
          <w:sz w:val="22"/>
          <w:szCs w:val="22"/>
        </w:rPr>
        <w:t xml:space="preserve">Where feasible, giving priority to rehabilitation of housing, as opposed to demolition, to avoid displacement. </w:t>
      </w:r>
    </w:p>
    <w:p w14:paraId="0AF12B71" w14:textId="77777777" w:rsidR="008C4F3C" w:rsidRDefault="008C4F3C" w:rsidP="008C4F3C">
      <w:pPr>
        <w:pStyle w:val="Default"/>
        <w:numPr>
          <w:ilvl w:val="0"/>
          <w:numId w:val="2"/>
        </w:numPr>
        <w:spacing w:line="276" w:lineRule="auto"/>
        <w:jc w:val="both"/>
        <w:rPr>
          <w:sz w:val="22"/>
          <w:szCs w:val="22"/>
        </w:rPr>
      </w:pPr>
      <w:r w:rsidRPr="008C4F3C">
        <w:rPr>
          <w:sz w:val="22"/>
          <w:szCs w:val="22"/>
        </w:rPr>
        <w:t xml:space="preserve">Where feasible, allowing for demolition or conversion of only dwelling units that are not occupied or vacant occupiable dwelling units (especially those units which are “lower-income dwelling units” (as defined in 24 CFR 42.305)) or structures that have not been used for residential purposes. </w:t>
      </w:r>
    </w:p>
    <w:p w14:paraId="611C4C8A" w14:textId="77777777" w:rsidR="008C4F3C" w:rsidRDefault="008C4F3C" w:rsidP="008C4F3C">
      <w:pPr>
        <w:pStyle w:val="Default"/>
        <w:numPr>
          <w:ilvl w:val="0"/>
          <w:numId w:val="2"/>
        </w:numPr>
        <w:spacing w:line="276" w:lineRule="auto"/>
        <w:jc w:val="both"/>
        <w:rPr>
          <w:sz w:val="22"/>
          <w:szCs w:val="22"/>
        </w:rPr>
      </w:pPr>
      <w:r w:rsidRPr="008C4F3C">
        <w:rPr>
          <w:sz w:val="22"/>
          <w:szCs w:val="22"/>
        </w:rPr>
        <w:t xml:space="preserve"> Targeting only those properties deemed essential to the need or success of the project. </w:t>
      </w:r>
    </w:p>
    <w:p w14:paraId="15B136B5" w14:textId="77777777" w:rsidR="00A979D2" w:rsidRPr="008C4F3C" w:rsidRDefault="00A979D2" w:rsidP="008C4F3C">
      <w:pPr>
        <w:pStyle w:val="Default"/>
        <w:numPr>
          <w:ilvl w:val="0"/>
          <w:numId w:val="2"/>
        </w:numPr>
        <w:spacing w:line="276" w:lineRule="auto"/>
        <w:jc w:val="both"/>
        <w:rPr>
          <w:sz w:val="22"/>
          <w:szCs w:val="22"/>
        </w:rPr>
      </w:pPr>
      <w:r>
        <w:rPr>
          <w:sz w:val="22"/>
          <w:szCs w:val="22"/>
        </w:rPr>
        <w:t>Acquisition of easements or property related to community and public facility projects.</w:t>
      </w:r>
    </w:p>
    <w:p w14:paraId="4A8C78CC" w14:textId="77777777" w:rsidR="008C4F3C" w:rsidRDefault="008C4F3C" w:rsidP="008C4F3C">
      <w:pPr>
        <w:pStyle w:val="Default"/>
        <w:spacing w:line="276" w:lineRule="auto"/>
        <w:jc w:val="both"/>
        <w:rPr>
          <w:sz w:val="22"/>
          <w:szCs w:val="22"/>
        </w:rPr>
      </w:pPr>
    </w:p>
    <w:p w14:paraId="0A03090C" w14:textId="77777777" w:rsidR="008C4F3C" w:rsidRDefault="008C4F3C" w:rsidP="008C4F3C">
      <w:pPr>
        <w:pStyle w:val="Default"/>
        <w:spacing w:line="276" w:lineRule="auto"/>
        <w:jc w:val="both"/>
        <w:rPr>
          <w:b/>
          <w:bCs/>
          <w:sz w:val="22"/>
          <w:szCs w:val="22"/>
        </w:rPr>
      </w:pPr>
      <w:r>
        <w:rPr>
          <w:b/>
          <w:bCs/>
          <w:sz w:val="22"/>
          <w:szCs w:val="22"/>
        </w:rPr>
        <w:t xml:space="preserve">Relocation Assistance to Displaced Persons </w:t>
      </w:r>
    </w:p>
    <w:p w14:paraId="317ECA28" w14:textId="77777777" w:rsidR="006C11B4" w:rsidRDefault="006C11B4" w:rsidP="008C4F3C">
      <w:pPr>
        <w:pStyle w:val="Default"/>
        <w:spacing w:line="276" w:lineRule="auto"/>
        <w:jc w:val="both"/>
        <w:rPr>
          <w:sz w:val="22"/>
          <w:szCs w:val="22"/>
        </w:rPr>
      </w:pPr>
    </w:p>
    <w:p w14:paraId="681E2E3B" w14:textId="77777777" w:rsidR="008C4F3C" w:rsidRDefault="00A979D2" w:rsidP="008C4F3C">
      <w:pPr>
        <w:pStyle w:val="Default"/>
        <w:spacing w:line="276" w:lineRule="auto"/>
        <w:jc w:val="both"/>
        <w:rPr>
          <w:color w:val="auto"/>
          <w:sz w:val="22"/>
          <w:szCs w:val="22"/>
        </w:rPr>
      </w:pPr>
      <w:r>
        <w:rPr>
          <w:sz w:val="22"/>
          <w:szCs w:val="22"/>
        </w:rPr>
        <w:t>[GRANTEE CITY, TOWN</w:t>
      </w:r>
      <w:r w:rsidR="00A83755">
        <w:rPr>
          <w:sz w:val="22"/>
          <w:szCs w:val="22"/>
        </w:rPr>
        <w:t>,</w:t>
      </w:r>
      <w:r>
        <w:rPr>
          <w:sz w:val="22"/>
          <w:szCs w:val="22"/>
        </w:rPr>
        <w:t xml:space="preserve"> OR COUNTY]</w:t>
      </w:r>
      <w:r w:rsidR="008C4F3C">
        <w:rPr>
          <w:sz w:val="22"/>
          <w:szCs w:val="22"/>
        </w:rPr>
        <w:t xml:space="preserve"> will provide relocation assistance for eligible beneficiaries (as defined by regulation) who, in connection with an activity assisted </w:t>
      </w:r>
      <w:r w:rsidR="00A00800">
        <w:rPr>
          <w:sz w:val="22"/>
          <w:szCs w:val="22"/>
        </w:rPr>
        <w:t>with HUD funds</w:t>
      </w:r>
      <w:r w:rsidR="008C4F3C">
        <w:rPr>
          <w:sz w:val="22"/>
          <w:szCs w:val="22"/>
        </w:rPr>
        <w:t xml:space="preserve">, move permanently or move personal property from </w:t>
      </w:r>
      <w:r w:rsidR="008C4F3C">
        <w:rPr>
          <w:color w:val="auto"/>
          <w:sz w:val="22"/>
          <w:szCs w:val="22"/>
        </w:rPr>
        <w:t xml:space="preserve">real property as a direct result of the demolition of any dwelling unit or the conversion of a lower-income dwelling unit. </w:t>
      </w:r>
      <w:r>
        <w:rPr>
          <w:color w:val="auto"/>
          <w:sz w:val="22"/>
          <w:szCs w:val="22"/>
        </w:rPr>
        <w:t>Depending upon their status, a</w:t>
      </w:r>
      <w:r w:rsidR="008C4F3C">
        <w:rPr>
          <w:color w:val="auto"/>
          <w:sz w:val="22"/>
          <w:szCs w:val="22"/>
        </w:rPr>
        <w:t xml:space="preserve"> displaced person may </w:t>
      </w:r>
      <w:r>
        <w:rPr>
          <w:color w:val="auto"/>
          <w:sz w:val="22"/>
          <w:szCs w:val="22"/>
        </w:rPr>
        <w:t>qualify</w:t>
      </w:r>
      <w:r w:rsidR="008C4F3C">
        <w:rPr>
          <w:color w:val="auto"/>
          <w:sz w:val="22"/>
          <w:szCs w:val="22"/>
        </w:rPr>
        <w:t xml:space="preserve"> assistance under </w:t>
      </w:r>
      <w:r>
        <w:rPr>
          <w:color w:val="auto"/>
          <w:sz w:val="22"/>
          <w:szCs w:val="22"/>
        </w:rPr>
        <w:t xml:space="preserve">either </w:t>
      </w:r>
      <w:r w:rsidR="008C4F3C">
        <w:rPr>
          <w:color w:val="auto"/>
          <w:sz w:val="22"/>
          <w:szCs w:val="22"/>
        </w:rPr>
        <w:t xml:space="preserve">the Uniform Relocation Assistance and Real Property Acquisitions Act (“URA”) and its implementing regulation at 49 CFR 24 or under Section 104(d) of the Act, including: </w:t>
      </w:r>
    </w:p>
    <w:p w14:paraId="68E07522" w14:textId="77777777" w:rsidR="008C4F3C" w:rsidRDefault="008C4F3C" w:rsidP="008C4F3C">
      <w:pPr>
        <w:pStyle w:val="Default"/>
        <w:spacing w:line="276" w:lineRule="auto"/>
        <w:jc w:val="both"/>
        <w:rPr>
          <w:color w:val="auto"/>
          <w:sz w:val="22"/>
          <w:szCs w:val="22"/>
        </w:rPr>
      </w:pPr>
    </w:p>
    <w:p w14:paraId="05FA822E" w14:textId="77777777" w:rsidR="008C4F3C" w:rsidRDefault="008C4F3C" w:rsidP="008C4F3C">
      <w:pPr>
        <w:pStyle w:val="Default"/>
        <w:spacing w:line="276" w:lineRule="auto"/>
        <w:ind w:left="990" w:hanging="270"/>
        <w:jc w:val="both"/>
        <w:rPr>
          <w:color w:val="auto"/>
          <w:sz w:val="22"/>
          <w:szCs w:val="22"/>
        </w:rPr>
      </w:pPr>
      <w:r>
        <w:rPr>
          <w:color w:val="auto"/>
          <w:sz w:val="22"/>
          <w:szCs w:val="22"/>
        </w:rPr>
        <w:lastRenderedPageBreak/>
        <w:t xml:space="preserve">1. Advisory Services – A displaced person will be advised of his or her rights under the Fair Housing Act. If a comparable replacement dwelling to be provided to a minority person </w:t>
      </w:r>
      <w:proofErr w:type="gramStart"/>
      <w:r>
        <w:rPr>
          <w:color w:val="auto"/>
          <w:sz w:val="22"/>
          <w:szCs w:val="22"/>
        </w:rPr>
        <w:t>is located in</w:t>
      </w:r>
      <w:proofErr w:type="gramEnd"/>
      <w:r>
        <w:rPr>
          <w:color w:val="auto"/>
          <w:sz w:val="22"/>
          <w:szCs w:val="22"/>
        </w:rPr>
        <w:t xml:space="preserve"> an area of minority concentration (as may be identified in the </w:t>
      </w:r>
      <w:r w:rsidR="00A979D2">
        <w:rPr>
          <w:color w:val="auto"/>
          <w:sz w:val="22"/>
          <w:szCs w:val="22"/>
        </w:rPr>
        <w:t>MDOC</w:t>
      </w:r>
      <w:r>
        <w:rPr>
          <w:color w:val="auto"/>
          <w:sz w:val="22"/>
          <w:szCs w:val="22"/>
        </w:rPr>
        <w:t xml:space="preserve"> Consolidated Plan) the minority person will also be given, if possible, referrals to comparable and suitable decent, safe and sanitary replacement dwellings not located in such areas. (24 CFR 42.350(a)) </w:t>
      </w:r>
    </w:p>
    <w:p w14:paraId="7660D69B" w14:textId="77777777" w:rsidR="008C4F3C" w:rsidRDefault="008C4F3C" w:rsidP="008C4F3C">
      <w:pPr>
        <w:pStyle w:val="Default"/>
        <w:spacing w:line="276" w:lineRule="auto"/>
        <w:ind w:left="990" w:hanging="270"/>
        <w:jc w:val="both"/>
        <w:rPr>
          <w:color w:val="auto"/>
          <w:sz w:val="22"/>
          <w:szCs w:val="22"/>
        </w:rPr>
      </w:pPr>
    </w:p>
    <w:p w14:paraId="7C15E57A" w14:textId="77777777" w:rsidR="008C4F3C" w:rsidRDefault="008C4F3C" w:rsidP="008C4F3C">
      <w:pPr>
        <w:pStyle w:val="Default"/>
        <w:spacing w:line="276" w:lineRule="auto"/>
        <w:ind w:left="990" w:hanging="270"/>
        <w:jc w:val="both"/>
        <w:rPr>
          <w:color w:val="auto"/>
          <w:sz w:val="22"/>
          <w:szCs w:val="22"/>
        </w:rPr>
      </w:pPr>
      <w:r>
        <w:rPr>
          <w:color w:val="auto"/>
          <w:sz w:val="22"/>
          <w:szCs w:val="22"/>
        </w:rPr>
        <w:t xml:space="preserve">2. Moving Expenses – Payment for moving expenses at levels described in the URA. (24 CFR 42.350(b)) </w:t>
      </w:r>
    </w:p>
    <w:p w14:paraId="6F116C2F" w14:textId="77777777" w:rsidR="008C4F3C" w:rsidRDefault="008C4F3C" w:rsidP="008C4F3C">
      <w:pPr>
        <w:pStyle w:val="Default"/>
        <w:spacing w:line="276" w:lineRule="auto"/>
        <w:ind w:left="990" w:hanging="270"/>
        <w:jc w:val="both"/>
        <w:rPr>
          <w:color w:val="auto"/>
          <w:sz w:val="22"/>
          <w:szCs w:val="22"/>
        </w:rPr>
      </w:pPr>
    </w:p>
    <w:p w14:paraId="0A703273" w14:textId="77777777" w:rsidR="008C4F3C" w:rsidRDefault="008C4F3C" w:rsidP="008C4F3C">
      <w:pPr>
        <w:pStyle w:val="Default"/>
        <w:spacing w:line="276" w:lineRule="auto"/>
        <w:ind w:left="990" w:hanging="270"/>
        <w:jc w:val="both"/>
        <w:rPr>
          <w:color w:val="auto"/>
          <w:sz w:val="22"/>
          <w:szCs w:val="22"/>
        </w:rPr>
      </w:pPr>
      <w:r>
        <w:rPr>
          <w:color w:val="auto"/>
          <w:sz w:val="22"/>
          <w:szCs w:val="22"/>
        </w:rPr>
        <w:t xml:space="preserve">3. Security Deposits and Credit Checks – The reasonable and necessary cost of any security deposit required to rent the replacement dwelling unit, and for credit checks required to rent or purchase the replacement dwelling unit. (24 CFR 42.350(c)) </w:t>
      </w:r>
    </w:p>
    <w:p w14:paraId="0D4C247F" w14:textId="77777777" w:rsidR="008C4F3C" w:rsidRDefault="008C4F3C" w:rsidP="008C4F3C">
      <w:pPr>
        <w:pStyle w:val="Default"/>
        <w:spacing w:line="276" w:lineRule="auto"/>
        <w:ind w:left="990" w:hanging="270"/>
        <w:jc w:val="both"/>
        <w:rPr>
          <w:color w:val="auto"/>
          <w:sz w:val="22"/>
          <w:szCs w:val="22"/>
        </w:rPr>
      </w:pPr>
    </w:p>
    <w:p w14:paraId="3D20D0E3" w14:textId="77777777" w:rsidR="008C4F3C" w:rsidRDefault="008C4F3C" w:rsidP="008C4F3C">
      <w:pPr>
        <w:pStyle w:val="Default"/>
        <w:spacing w:line="276" w:lineRule="auto"/>
        <w:ind w:left="990" w:hanging="270"/>
        <w:jc w:val="both"/>
        <w:rPr>
          <w:color w:val="auto"/>
          <w:sz w:val="22"/>
          <w:szCs w:val="22"/>
        </w:rPr>
      </w:pPr>
      <w:r>
        <w:rPr>
          <w:color w:val="auto"/>
          <w:sz w:val="22"/>
          <w:szCs w:val="22"/>
        </w:rPr>
        <w:t xml:space="preserve">4. Interim Living Costs – Displaced persons shall be reimbursed for actual, reasonable, out-of-pocket costs incurred in connection with a displacement, including moving expenses and increased housing costs, if (24 CFR 42.350(d)): </w:t>
      </w:r>
    </w:p>
    <w:p w14:paraId="2EFA6983" w14:textId="77777777" w:rsidR="008C4F3C" w:rsidRDefault="008C4F3C" w:rsidP="008C4F3C">
      <w:pPr>
        <w:pStyle w:val="Default"/>
        <w:spacing w:line="276" w:lineRule="auto"/>
        <w:ind w:left="990" w:hanging="270"/>
        <w:jc w:val="both"/>
        <w:rPr>
          <w:color w:val="auto"/>
          <w:sz w:val="22"/>
          <w:szCs w:val="22"/>
        </w:rPr>
      </w:pPr>
    </w:p>
    <w:p w14:paraId="57AE8049" w14:textId="77777777" w:rsidR="008C4F3C" w:rsidRDefault="008C4F3C" w:rsidP="008C4F3C">
      <w:pPr>
        <w:pStyle w:val="Default"/>
        <w:spacing w:line="276" w:lineRule="auto"/>
        <w:ind w:left="1260" w:hanging="270"/>
        <w:jc w:val="both"/>
        <w:rPr>
          <w:color w:val="auto"/>
          <w:sz w:val="22"/>
          <w:szCs w:val="22"/>
        </w:rPr>
      </w:pPr>
      <w:r>
        <w:rPr>
          <w:color w:val="auto"/>
          <w:sz w:val="22"/>
          <w:szCs w:val="22"/>
        </w:rPr>
        <w:t xml:space="preserve">a) a person must relocate temporarily because continued occupancy of the dwelling unit constitutes a substantial danger to the health or safety of the person or the public; or </w:t>
      </w:r>
    </w:p>
    <w:p w14:paraId="5C7C451D" w14:textId="77777777" w:rsidR="008C4F3C" w:rsidRDefault="008C4F3C" w:rsidP="008C4F3C">
      <w:pPr>
        <w:pStyle w:val="Default"/>
        <w:spacing w:line="276" w:lineRule="auto"/>
        <w:ind w:left="1260" w:hanging="270"/>
        <w:jc w:val="both"/>
        <w:rPr>
          <w:color w:val="auto"/>
          <w:sz w:val="22"/>
          <w:szCs w:val="22"/>
        </w:rPr>
      </w:pPr>
    </w:p>
    <w:p w14:paraId="26744626" w14:textId="77777777" w:rsidR="008C4F3C" w:rsidRDefault="008C4F3C" w:rsidP="008C4F3C">
      <w:pPr>
        <w:pStyle w:val="Default"/>
        <w:spacing w:line="276" w:lineRule="auto"/>
        <w:ind w:left="1260" w:hanging="270"/>
        <w:jc w:val="both"/>
        <w:rPr>
          <w:color w:val="auto"/>
          <w:sz w:val="22"/>
          <w:szCs w:val="22"/>
        </w:rPr>
      </w:pPr>
      <w:r>
        <w:rPr>
          <w:color w:val="auto"/>
          <w:sz w:val="22"/>
          <w:szCs w:val="22"/>
        </w:rPr>
        <w:t xml:space="preserve">b) a person is displaced from a “lower income dwelling unit”, none of the comparable replacement dwelling units to which the person has been referred qualifies as a lower income dwelling unit and a suitable lower income dwelling unit is scheduled to become available in accordance with the one-for-one replacement rule discussed below. </w:t>
      </w:r>
    </w:p>
    <w:p w14:paraId="55B3E6C3" w14:textId="77777777" w:rsidR="008C4F3C" w:rsidRDefault="008C4F3C" w:rsidP="008C4F3C">
      <w:pPr>
        <w:pStyle w:val="Default"/>
        <w:spacing w:line="276" w:lineRule="auto"/>
        <w:jc w:val="both"/>
        <w:rPr>
          <w:color w:val="auto"/>
          <w:sz w:val="22"/>
          <w:szCs w:val="22"/>
        </w:rPr>
      </w:pPr>
    </w:p>
    <w:p w14:paraId="71A8A133" w14:textId="77777777" w:rsidR="008C4F3C" w:rsidRDefault="008C4F3C" w:rsidP="008C4F3C">
      <w:pPr>
        <w:pStyle w:val="Default"/>
        <w:spacing w:line="276" w:lineRule="auto"/>
        <w:ind w:left="990" w:hanging="270"/>
        <w:jc w:val="both"/>
        <w:rPr>
          <w:color w:val="auto"/>
          <w:sz w:val="22"/>
          <w:szCs w:val="22"/>
        </w:rPr>
      </w:pPr>
      <w:r>
        <w:rPr>
          <w:color w:val="auto"/>
          <w:sz w:val="22"/>
          <w:szCs w:val="22"/>
        </w:rPr>
        <w:t xml:space="preserve">5. Replacement Housing Assistance – Displaced persons are eligible to receive one of the following two forms of replacement housing assistance </w:t>
      </w:r>
      <w:r w:rsidR="00A83755">
        <w:rPr>
          <w:color w:val="auto"/>
          <w:sz w:val="22"/>
          <w:szCs w:val="22"/>
        </w:rPr>
        <w:t>[</w:t>
      </w:r>
      <w:r>
        <w:rPr>
          <w:color w:val="auto"/>
          <w:sz w:val="22"/>
          <w:szCs w:val="22"/>
        </w:rPr>
        <w:t>(24 CFR 42.350(e)</w:t>
      </w:r>
      <w:r w:rsidR="00A83755">
        <w:rPr>
          <w:color w:val="auto"/>
          <w:sz w:val="22"/>
          <w:szCs w:val="22"/>
        </w:rPr>
        <w:t>]</w:t>
      </w:r>
      <w:r>
        <w:rPr>
          <w:color w:val="auto"/>
          <w:sz w:val="22"/>
          <w:szCs w:val="22"/>
        </w:rPr>
        <w:t xml:space="preserve">: </w:t>
      </w:r>
    </w:p>
    <w:p w14:paraId="6D3D23FA" w14:textId="77777777" w:rsidR="008C4F3C" w:rsidRDefault="008C4F3C" w:rsidP="008C4F3C">
      <w:pPr>
        <w:pStyle w:val="Default"/>
        <w:spacing w:line="276" w:lineRule="auto"/>
        <w:ind w:left="990" w:hanging="270"/>
        <w:jc w:val="both"/>
        <w:rPr>
          <w:color w:val="auto"/>
          <w:sz w:val="22"/>
          <w:szCs w:val="22"/>
        </w:rPr>
      </w:pPr>
    </w:p>
    <w:p w14:paraId="5D9A10CD" w14:textId="77777777" w:rsidR="008C4F3C" w:rsidRDefault="008C4F3C" w:rsidP="008C4F3C">
      <w:pPr>
        <w:pStyle w:val="Default"/>
        <w:spacing w:line="276" w:lineRule="auto"/>
        <w:ind w:left="1260" w:hanging="270"/>
        <w:jc w:val="both"/>
        <w:rPr>
          <w:color w:val="auto"/>
          <w:sz w:val="22"/>
          <w:szCs w:val="22"/>
        </w:rPr>
      </w:pPr>
      <w:r>
        <w:rPr>
          <w:color w:val="auto"/>
          <w:sz w:val="22"/>
          <w:szCs w:val="22"/>
        </w:rPr>
        <w:t xml:space="preserve">a) rental assistance equal to 60 times the amount necessary to reduce the monthly rent and estimated average monthly cost of utilities for a replacement dwelling (comparable replacement dwelling or decent, safe, and sanitary replacement dwelling to which the person relocates, whichever costs less) to the "Total Tenant Payment," as determined by 24 CFR 5. (All or a portion of this assistance may be offered through a certificate or voucher for rental assistance, if available, provided under Section 8. If a Section 8 certificate or voucher is provided, the </w:t>
      </w:r>
      <w:r w:rsidR="00A83755">
        <w:rPr>
          <w:color w:val="auto"/>
          <w:sz w:val="22"/>
          <w:szCs w:val="22"/>
        </w:rPr>
        <w:t>subrecipient</w:t>
      </w:r>
      <w:r>
        <w:rPr>
          <w:color w:val="auto"/>
          <w:sz w:val="22"/>
          <w:szCs w:val="22"/>
        </w:rPr>
        <w:t xml:space="preserve"> partner must provide referrals to comparable replacement dwelling units where the owner is willing to participate in the Section 8 Tenant-Based Assistance Existing Housing Program 24 CFR 982); or </w:t>
      </w:r>
    </w:p>
    <w:p w14:paraId="7A83605C" w14:textId="77777777" w:rsidR="008C4F3C" w:rsidRDefault="008C4F3C" w:rsidP="008C4F3C">
      <w:pPr>
        <w:pStyle w:val="Default"/>
        <w:spacing w:line="276" w:lineRule="auto"/>
        <w:ind w:left="1260" w:hanging="270"/>
        <w:jc w:val="both"/>
        <w:rPr>
          <w:color w:val="auto"/>
          <w:sz w:val="22"/>
          <w:szCs w:val="22"/>
        </w:rPr>
      </w:pPr>
    </w:p>
    <w:p w14:paraId="1D14AC19" w14:textId="77777777" w:rsidR="008C4F3C" w:rsidRDefault="008C4F3C" w:rsidP="008C4F3C">
      <w:pPr>
        <w:pStyle w:val="Default"/>
        <w:spacing w:line="276" w:lineRule="auto"/>
        <w:ind w:left="1260" w:hanging="270"/>
        <w:jc w:val="both"/>
        <w:rPr>
          <w:color w:val="auto"/>
          <w:sz w:val="22"/>
          <w:szCs w:val="22"/>
        </w:rPr>
      </w:pPr>
      <w:r>
        <w:rPr>
          <w:color w:val="auto"/>
          <w:sz w:val="22"/>
          <w:szCs w:val="22"/>
        </w:rPr>
        <w:t xml:space="preserve">b) If a displaced person purchases an interest in a housing cooperative or mutual housing association and occupies a decent, safe, and sanitary dwelling in the cooperative or association, the person may elect to receive a payment equal to the capitalized value of 60 times the amount that is obtained by subtracting the "Total Tenant Payment," as </w:t>
      </w:r>
      <w:r>
        <w:rPr>
          <w:color w:val="auto"/>
          <w:sz w:val="22"/>
          <w:szCs w:val="22"/>
        </w:rPr>
        <w:lastRenderedPageBreak/>
        <w:t xml:space="preserve">determined under 24 CFR 5, from the monthly rent and estimated average monthly cost of utilities at a comparable replacement dwelling unit. To compute the capitalized value, the installments shall be discounted at the rate of interest paid on passbook savings deposits by a federally insured financial institution conducting business within the recipient's jurisdiction. To the extent necessary to minimize hardship to the displaced household, </w:t>
      </w:r>
      <w:r w:rsidR="00A83755">
        <w:rPr>
          <w:color w:val="auto"/>
          <w:sz w:val="22"/>
          <w:szCs w:val="22"/>
        </w:rPr>
        <w:t>subrecipient</w:t>
      </w:r>
      <w:r>
        <w:rPr>
          <w:color w:val="auto"/>
          <w:sz w:val="22"/>
          <w:szCs w:val="22"/>
        </w:rPr>
        <w:t xml:space="preserve"> partners will, subject to appropriate safeguards, issue a payment in advance of the purchase of the interest in the housing cooperative or mutual housing association. </w:t>
      </w:r>
    </w:p>
    <w:p w14:paraId="3D1B0C88" w14:textId="77777777" w:rsidR="008C4F3C" w:rsidRDefault="008C4F3C" w:rsidP="008C4F3C">
      <w:pPr>
        <w:pStyle w:val="Default"/>
        <w:spacing w:line="276" w:lineRule="auto"/>
        <w:jc w:val="both"/>
        <w:rPr>
          <w:color w:val="auto"/>
          <w:sz w:val="22"/>
          <w:szCs w:val="22"/>
        </w:rPr>
      </w:pPr>
    </w:p>
    <w:p w14:paraId="51BC81E4" w14:textId="77777777" w:rsidR="008C4F3C" w:rsidRDefault="008C4F3C" w:rsidP="008C4F3C">
      <w:pPr>
        <w:pStyle w:val="Default"/>
        <w:spacing w:line="276" w:lineRule="auto"/>
        <w:jc w:val="both"/>
        <w:rPr>
          <w:color w:val="auto"/>
          <w:sz w:val="22"/>
          <w:szCs w:val="22"/>
        </w:rPr>
      </w:pPr>
      <w:r>
        <w:rPr>
          <w:color w:val="auto"/>
          <w:sz w:val="22"/>
          <w:szCs w:val="22"/>
        </w:rPr>
        <w:t xml:space="preserve">A displaced person who is not a lower-income tenant will be provided relocation assistance in accordance with the URA. Businesses relocated </w:t>
      </w:r>
      <w:proofErr w:type="gramStart"/>
      <w:r>
        <w:rPr>
          <w:color w:val="auto"/>
          <w:sz w:val="22"/>
          <w:szCs w:val="22"/>
        </w:rPr>
        <w:t>as a result of</w:t>
      </w:r>
      <w:proofErr w:type="gramEnd"/>
      <w:r>
        <w:rPr>
          <w:color w:val="auto"/>
          <w:sz w:val="22"/>
          <w:szCs w:val="22"/>
        </w:rPr>
        <w:t xml:space="preserve"> assisted activities will also be provided relocation assistance in accordance with the URA. </w:t>
      </w:r>
    </w:p>
    <w:p w14:paraId="47CFE26B" w14:textId="77777777" w:rsidR="008C4F3C" w:rsidRDefault="008C4F3C" w:rsidP="008C4F3C">
      <w:pPr>
        <w:pStyle w:val="Default"/>
        <w:spacing w:line="276" w:lineRule="auto"/>
        <w:jc w:val="both"/>
        <w:rPr>
          <w:b/>
          <w:bCs/>
          <w:color w:val="auto"/>
          <w:sz w:val="22"/>
          <w:szCs w:val="22"/>
        </w:rPr>
      </w:pPr>
    </w:p>
    <w:p w14:paraId="0D2DED81" w14:textId="77777777" w:rsidR="008C4F3C" w:rsidRDefault="008C4F3C" w:rsidP="008C4F3C">
      <w:pPr>
        <w:pStyle w:val="Default"/>
        <w:spacing w:line="276" w:lineRule="auto"/>
        <w:jc w:val="both"/>
        <w:rPr>
          <w:b/>
          <w:bCs/>
          <w:color w:val="auto"/>
          <w:sz w:val="22"/>
          <w:szCs w:val="22"/>
        </w:rPr>
      </w:pPr>
      <w:r>
        <w:rPr>
          <w:b/>
          <w:bCs/>
          <w:color w:val="auto"/>
          <w:sz w:val="22"/>
          <w:szCs w:val="22"/>
        </w:rPr>
        <w:t xml:space="preserve">One-for-One Replacement of Lower-Income Dwelling Units </w:t>
      </w:r>
    </w:p>
    <w:p w14:paraId="35FD1E0B" w14:textId="77777777" w:rsidR="00A83755" w:rsidRDefault="00A83755" w:rsidP="008C4F3C">
      <w:pPr>
        <w:pStyle w:val="Default"/>
        <w:spacing w:line="276" w:lineRule="auto"/>
        <w:jc w:val="both"/>
        <w:rPr>
          <w:color w:val="auto"/>
          <w:sz w:val="22"/>
          <w:szCs w:val="22"/>
        </w:rPr>
      </w:pPr>
    </w:p>
    <w:p w14:paraId="4A765DF8" w14:textId="77777777" w:rsidR="008C4F3C" w:rsidRDefault="00A979D2" w:rsidP="008C4F3C">
      <w:pPr>
        <w:pStyle w:val="Default"/>
        <w:spacing w:line="276" w:lineRule="auto"/>
        <w:jc w:val="both"/>
        <w:rPr>
          <w:color w:val="auto"/>
          <w:sz w:val="22"/>
          <w:szCs w:val="22"/>
        </w:rPr>
      </w:pPr>
      <w:r>
        <w:rPr>
          <w:sz w:val="22"/>
          <w:szCs w:val="22"/>
        </w:rPr>
        <w:t>[GRANTEE CITY, TOWN</w:t>
      </w:r>
      <w:r w:rsidR="00A83755">
        <w:rPr>
          <w:sz w:val="22"/>
          <w:szCs w:val="22"/>
        </w:rPr>
        <w:t>,</w:t>
      </w:r>
      <w:r>
        <w:rPr>
          <w:sz w:val="22"/>
          <w:szCs w:val="22"/>
        </w:rPr>
        <w:t xml:space="preserve"> OR COUNTY]</w:t>
      </w:r>
      <w:r w:rsidR="008C4F3C">
        <w:rPr>
          <w:color w:val="auto"/>
          <w:sz w:val="22"/>
          <w:szCs w:val="22"/>
        </w:rPr>
        <w:t xml:space="preserve"> will replace all occupied and vacant occupiable lower-income dwelling units demolished or converted to a use other than lower-income housing in connection with a project assisted with funds provided under the </w:t>
      </w:r>
      <w:r w:rsidR="00A00800">
        <w:rPr>
          <w:color w:val="auto"/>
          <w:sz w:val="22"/>
          <w:szCs w:val="22"/>
        </w:rPr>
        <w:t xml:space="preserve">HUD-assisted </w:t>
      </w:r>
      <w:r w:rsidR="008C4F3C">
        <w:rPr>
          <w:color w:val="auto"/>
          <w:sz w:val="22"/>
          <w:szCs w:val="22"/>
        </w:rPr>
        <w:t xml:space="preserve">programs in accordance with 24 CFR 42.375, as follows: </w:t>
      </w:r>
    </w:p>
    <w:p w14:paraId="39FFC1FE" w14:textId="77777777" w:rsidR="008C4F3C" w:rsidRDefault="008C4F3C" w:rsidP="008C4F3C">
      <w:pPr>
        <w:pStyle w:val="Default"/>
        <w:spacing w:line="276" w:lineRule="auto"/>
        <w:jc w:val="both"/>
        <w:rPr>
          <w:color w:val="auto"/>
          <w:sz w:val="22"/>
          <w:szCs w:val="22"/>
        </w:rPr>
      </w:pPr>
    </w:p>
    <w:p w14:paraId="23C21161" w14:textId="77777777" w:rsidR="008C4F3C" w:rsidRDefault="008C4F3C" w:rsidP="008C4F3C">
      <w:pPr>
        <w:pStyle w:val="Default"/>
        <w:spacing w:line="276" w:lineRule="auto"/>
        <w:ind w:left="990" w:hanging="270"/>
        <w:jc w:val="both"/>
        <w:rPr>
          <w:color w:val="auto"/>
          <w:sz w:val="22"/>
          <w:szCs w:val="22"/>
        </w:rPr>
      </w:pPr>
      <w:r>
        <w:rPr>
          <w:color w:val="auto"/>
          <w:sz w:val="22"/>
          <w:szCs w:val="22"/>
        </w:rPr>
        <w:t xml:space="preserve">1. To the extent feasible, </w:t>
      </w:r>
      <w:r w:rsidR="00A979D2">
        <w:rPr>
          <w:sz w:val="22"/>
          <w:szCs w:val="22"/>
        </w:rPr>
        <w:t>[GRANTEE CITY, TOWN</w:t>
      </w:r>
      <w:r w:rsidR="00A83755">
        <w:rPr>
          <w:sz w:val="22"/>
          <w:szCs w:val="22"/>
        </w:rPr>
        <w:t>,</w:t>
      </w:r>
      <w:r w:rsidR="00A979D2">
        <w:rPr>
          <w:sz w:val="22"/>
          <w:szCs w:val="22"/>
        </w:rPr>
        <w:t xml:space="preserve"> OR COUNTY]</w:t>
      </w:r>
      <w:r>
        <w:rPr>
          <w:color w:val="auto"/>
          <w:sz w:val="22"/>
          <w:szCs w:val="22"/>
        </w:rPr>
        <w:t xml:space="preserve"> will require that replacement units be located within the same neighborhood as the units demolished or converted. </w:t>
      </w:r>
    </w:p>
    <w:p w14:paraId="6721837D" w14:textId="77777777" w:rsidR="008C4F3C" w:rsidRDefault="008C4F3C" w:rsidP="008C4F3C">
      <w:pPr>
        <w:pStyle w:val="Default"/>
        <w:spacing w:line="276" w:lineRule="auto"/>
        <w:ind w:left="990" w:hanging="270"/>
        <w:jc w:val="both"/>
        <w:rPr>
          <w:color w:val="auto"/>
          <w:sz w:val="22"/>
          <w:szCs w:val="22"/>
        </w:rPr>
      </w:pPr>
    </w:p>
    <w:p w14:paraId="0BBE36AB" w14:textId="77777777" w:rsidR="008C4F3C" w:rsidRDefault="008C4F3C" w:rsidP="008C4F3C">
      <w:pPr>
        <w:pStyle w:val="Default"/>
        <w:spacing w:line="276" w:lineRule="auto"/>
        <w:ind w:left="990" w:hanging="270"/>
        <w:jc w:val="both"/>
        <w:rPr>
          <w:color w:val="auto"/>
          <w:sz w:val="22"/>
          <w:szCs w:val="22"/>
        </w:rPr>
      </w:pPr>
      <w:r>
        <w:rPr>
          <w:color w:val="auto"/>
          <w:sz w:val="22"/>
          <w:szCs w:val="22"/>
        </w:rPr>
        <w:t xml:space="preserve">2. </w:t>
      </w:r>
      <w:r w:rsidR="00A979D2">
        <w:rPr>
          <w:sz w:val="22"/>
          <w:szCs w:val="22"/>
        </w:rPr>
        <w:t>[GRANTEE CITY, TOWN</w:t>
      </w:r>
      <w:r w:rsidR="00A83755">
        <w:rPr>
          <w:sz w:val="22"/>
          <w:szCs w:val="22"/>
        </w:rPr>
        <w:t>,</w:t>
      </w:r>
      <w:r w:rsidR="00A979D2">
        <w:rPr>
          <w:sz w:val="22"/>
          <w:szCs w:val="22"/>
        </w:rPr>
        <w:t xml:space="preserve"> OR COUNTY]</w:t>
      </w:r>
      <w:r>
        <w:rPr>
          <w:color w:val="auto"/>
          <w:sz w:val="22"/>
          <w:szCs w:val="22"/>
        </w:rPr>
        <w:t xml:space="preserve"> will require that replacement units be sufficient in number and size to house no fewer than the number of occupants who could have been housed in the units that are demolished or converted. The number of occupants who could have been housed in units shall be determined in accordance with applicable local housing occupancy codes. </w:t>
      </w:r>
      <w:r w:rsidR="00A83755">
        <w:rPr>
          <w:color w:val="auto"/>
          <w:sz w:val="22"/>
          <w:szCs w:val="22"/>
        </w:rPr>
        <w:t>D</w:t>
      </w:r>
      <w:r>
        <w:rPr>
          <w:color w:val="auto"/>
          <w:sz w:val="22"/>
          <w:szCs w:val="22"/>
        </w:rPr>
        <w:t xml:space="preserve">emolished or converted units </w:t>
      </w:r>
      <w:r w:rsidR="00A83755">
        <w:rPr>
          <w:color w:val="auto"/>
          <w:sz w:val="22"/>
          <w:szCs w:val="22"/>
        </w:rPr>
        <w:t xml:space="preserve">may not be replaced </w:t>
      </w:r>
      <w:r>
        <w:rPr>
          <w:color w:val="auto"/>
          <w:sz w:val="22"/>
          <w:szCs w:val="22"/>
        </w:rPr>
        <w:t xml:space="preserve">with smaller units (e.g., a 2-bedroom unit with two 1-bedroom units). </w:t>
      </w:r>
    </w:p>
    <w:p w14:paraId="1B43F2F3" w14:textId="77777777" w:rsidR="008C4F3C" w:rsidRDefault="008C4F3C" w:rsidP="008C4F3C">
      <w:pPr>
        <w:pStyle w:val="Default"/>
        <w:spacing w:line="276" w:lineRule="auto"/>
        <w:ind w:left="990" w:hanging="270"/>
        <w:jc w:val="both"/>
        <w:rPr>
          <w:color w:val="auto"/>
          <w:sz w:val="22"/>
          <w:szCs w:val="22"/>
        </w:rPr>
      </w:pPr>
    </w:p>
    <w:p w14:paraId="18CC09EE" w14:textId="77777777" w:rsidR="008C4F3C" w:rsidRDefault="008C4F3C" w:rsidP="008C4F3C">
      <w:pPr>
        <w:pStyle w:val="Default"/>
        <w:spacing w:line="276" w:lineRule="auto"/>
        <w:ind w:left="990" w:hanging="270"/>
        <w:jc w:val="both"/>
        <w:rPr>
          <w:color w:val="auto"/>
          <w:sz w:val="22"/>
          <w:szCs w:val="22"/>
        </w:rPr>
      </w:pPr>
      <w:r>
        <w:rPr>
          <w:color w:val="auto"/>
          <w:sz w:val="22"/>
          <w:szCs w:val="22"/>
        </w:rPr>
        <w:t xml:space="preserve">3. The replacement units must be provided in standard condition. Replacement lower-income dwelling units may include units that have been raised to standard from substandard condition if: </w:t>
      </w:r>
    </w:p>
    <w:p w14:paraId="66A5A508" w14:textId="77777777" w:rsidR="008C4F3C" w:rsidRDefault="008C4F3C" w:rsidP="008C4F3C">
      <w:pPr>
        <w:pStyle w:val="Default"/>
        <w:spacing w:line="276" w:lineRule="auto"/>
        <w:ind w:left="2070" w:hanging="630"/>
        <w:jc w:val="both"/>
        <w:rPr>
          <w:color w:val="auto"/>
          <w:sz w:val="22"/>
          <w:szCs w:val="22"/>
        </w:rPr>
      </w:pPr>
    </w:p>
    <w:p w14:paraId="7BB91F3C" w14:textId="77777777" w:rsidR="008C4F3C" w:rsidRDefault="008C4F3C" w:rsidP="008C4F3C">
      <w:pPr>
        <w:pStyle w:val="Default"/>
        <w:spacing w:line="276" w:lineRule="auto"/>
        <w:ind w:left="1260" w:hanging="270"/>
        <w:jc w:val="both"/>
        <w:rPr>
          <w:color w:val="auto"/>
          <w:sz w:val="22"/>
          <w:szCs w:val="22"/>
        </w:rPr>
      </w:pPr>
      <w:r>
        <w:rPr>
          <w:color w:val="auto"/>
          <w:sz w:val="22"/>
          <w:szCs w:val="22"/>
        </w:rPr>
        <w:t xml:space="preserve">a) </w:t>
      </w:r>
      <w:r w:rsidR="006C11B4">
        <w:rPr>
          <w:color w:val="auto"/>
          <w:sz w:val="22"/>
          <w:szCs w:val="22"/>
        </w:rPr>
        <w:t xml:space="preserve"> </w:t>
      </w:r>
      <w:r>
        <w:rPr>
          <w:color w:val="auto"/>
          <w:sz w:val="22"/>
          <w:szCs w:val="22"/>
        </w:rPr>
        <w:t xml:space="preserve">No person was displaced from the substandard unit; and </w:t>
      </w:r>
    </w:p>
    <w:p w14:paraId="07F04041" w14:textId="77777777" w:rsidR="008C4F3C" w:rsidRDefault="008C4F3C" w:rsidP="008C4F3C">
      <w:pPr>
        <w:pStyle w:val="Default"/>
        <w:spacing w:line="276" w:lineRule="auto"/>
        <w:ind w:left="1260" w:hanging="270"/>
        <w:jc w:val="both"/>
        <w:rPr>
          <w:color w:val="auto"/>
          <w:sz w:val="22"/>
          <w:szCs w:val="22"/>
        </w:rPr>
      </w:pPr>
      <w:r>
        <w:rPr>
          <w:color w:val="auto"/>
          <w:sz w:val="22"/>
          <w:szCs w:val="22"/>
        </w:rPr>
        <w:t xml:space="preserve">b) The substandard unit was vacant for at least 3 months before execution of the agreement </w:t>
      </w:r>
      <w:r w:rsidR="006C11B4">
        <w:rPr>
          <w:color w:val="auto"/>
          <w:sz w:val="22"/>
          <w:szCs w:val="22"/>
        </w:rPr>
        <w:t xml:space="preserve">  </w:t>
      </w:r>
      <w:r>
        <w:rPr>
          <w:color w:val="auto"/>
          <w:sz w:val="22"/>
          <w:szCs w:val="22"/>
        </w:rPr>
        <w:t xml:space="preserve">between the </w:t>
      </w:r>
      <w:r w:rsidR="00A979D2">
        <w:rPr>
          <w:sz w:val="22"/>
          <w:szCs w:val="22"/>
        </w:rPr>
        <w:t>[GRANTEE CITY, TOWN</w:t>
      </w:r>
      <w:r w:rsidR="00A83755">
        <w:rPr>
          <w:sz w:val="22"/>
          <w:szCs w:val="22"/>
        </w:rPr>
        <w:t>,</w:t>
      </w:r>
      <w:r w:rsidR="00A979D2">
        <w:rPr>
          <w:sz w:val="22"/>
          <w:szCs w:val="22"/>
        </w:rPr>
        <w:t xml:space="preserve"> OR COUNTY]</w:t>
      </w:r>
      <w:r>
        <w:rPr>
          <w:color w:val="auto"/>
          <w:sz w:val="22"/>
          <w:szCs w:val="22"/>
        </w:rPr>
        <w:t xml:space="preserve"> and the property owner. </w:t>
      </w:r>
    </w:p>
    <w:p w14:paraId="26DDB00B" w14:textId="77777777" w:rsidR="008C4F3C" w:rsidRDefault="008C4F3C" w:rsidP="008C4F3C">
      <w:pPr>
        <w:pStyle w:val="Default"/>
        <w:spacing w:line="276" w:lineRule="auto"/>
        <w:ind w:left="990" w:hanging="270"/>
        <w:jc w:val="both"/>
        <w:rPr>
          <w:color w:val="auto"/>
          <w:sz w:val="22"/>
          <w:szCs w:val="22"/>
        </w:rPr>
      </w:pPr>
    </w:p>
    <w:p w14:paraId="21B752D7" w14:textId="77777777" w:rsidR="008C4F3C" w:rsidRDefault="00D05EFD" w:rsidP="00A83755">
      <w:pPr>
        <w:pStyle w:val="Default"/>
        <w:spacing w:line="276" w:lineRule="auto"/>
        <w:ind w:left="990" w:hanging="270"/>
        <w:jc w:val="both"/>
        <w:rPr>
          <w:color w:val="auto"/>
          <w:sz w:val="22"/>
          <w:szCs w:val="22"/>
        </w:rPr>
      </w:pPr>
      <w:r>
        <w:rPr>
          <w:color w:val="auto"/>
          <w:sz w:val="22"/>
          <w:szCs w:val="22"/>
        </w:rPr>
        <w:t>4</w:t>
      </w:r>
      <w:r w:rsidR="008C4F3C">
        <w:rPr>
          <w:color w:val="auto"/>
          <w:sz w:val="22"/>
          <w:szCs w:val="22"/>
        </w:rPr>
        <w:t xml:space="preserve">. The replacement units will be required to be designed by </w:t>
      </w:r>
      <w:r w:rsidR="00A83755">
        <w:rPr>
          <w:sz w:val="22"/>
          <w:szCs w:val="22"/>
        </w:rPr>
        <w:t>[GRANTEE CITY, TOWN, OR COUNTY]</w:t>
      </w:r>
      <w:r w:rsidR="008C4F3C">
        <w:rPr>
          <w:color w:val="auto"/>
          <w:sz w:val="22"/>
          <w:szCs w:val="22"/>
        </w:rPr>
        <w:t xml:space="preserve"> to remain lower-income dwelling units for </w:t>
      </w:r>
      <w:r>
        <w:rPr>
          <w:color w:val="auto"/>
          <w:sz w:val="22"/>
          <w:szCs w:val="22"/>
        </w:rPr>
        <w:t>the minimum number of years required by regulation</w:t>
      </w:r>
      <w:r w:rsidR="008C4F3C">
        <w:rPr>
          <w:color w:val="auto"/>
          <w:sz w:val="22"/>
          <w:szCs w:val="22"/>
        </w:rPr>
        <w:t>.</w:t>
      </w:r>
      <w:r w:rsidR="00A83755">
        <w:rPr>
          <w:color w:val="auto"/>
          <w:sz w:val="22"/>
          <w:szCs w:val="22"/>
        </w:rPr>
        <w:t xml:space="preserve"> </w:t>
      </w:r>
      <w:r w:rsidR="008C4F3C">
        <w:rPr>
          <w:color w:val="auto"/>
          <w:sz w:val="22"/>
          <w:szCs w:val="22"/>
        </w:rPr>
        <w:t xml:space="preserve">Replacement lower-income dwelling units may include, but are not limited to, public housing or existing housing receiving Section 8 project-based assistance. </w:t>
      </w:r>
    </w:p>
    <w:p w14:paraId="10F1C877" w14:textId="77777777" w:rsidR="008C4F3C" w:rsidRDefault="008C4F3C" w:rsidP="008C4F3C">
      <w:pPr>
        <w:pStyle w:val="Default"/>
        <w:jc w:val="both"/>
        <w:rPr>
          <w:b/>
          <w:bCs/>
          <w:color w:val="auto"/>
          <w:sz w:val="22"/>
          <w:szCs w:val="22"/>
        </w:rPr>
      </w:pPr>
    </w:p>
    <w:p w14:paraId="26A44636" w14:textId="77777777" w:rsidR="00A83755" w:rsidRDefault="008C4F3C" w:rsidP="008C4F3C">
      <w:pPr>
        <w:pStyle w:val="Default"/>
        <w:jc w:val="both"/>
        <w:rPr>
          <w:b/>
          <w:bCs/>
          <w:color w:val="auto"/>
          <w:sz w:val="22"/>
          <w:szCs w:val="22"/>
        </w:rPr>
      </w:pPr>
      <w:r>
        <w:rPr>
          <w:b/>
          <w:bCs/>
          <w:color w:val="auto"/>
          <w:sz w:val="22"/>
          <w:szCs w:val="22"/>
        </w:rPr>
        <w:t xml:space="preserve">Replacement </w:t>
      </w:r>
      <w:r w:rsidR="00A83755">
        <w:rPr>
          <w:b/>
          <w:bCs/>
          <w:color w:val="auto"/>
          <w:sz w:val="22"/>
          <w:szCs w:val="22"/>
        </w:rPr>
        <w:t>N</w:t>
      </w:r>
      <w:r>
        <w:rPr>
          <w:b/>
          <w:bCs/>
          <w:color w:val="auto"/>
          <w:sz w:val="22"/>
          <w:szCs w:val="22"/>
        </w:rPr>
        <w:t>ot Required Based on Unit Availability</w:t>
      </w:r>
    </w:p>
    <w:p w14:paraId="07265C50" w14:textId="77777777" w:rsidR="008C4F3C" w:rsidRDefault="008C4F3C" w:rsidP="008C4F3C">
      <w:pPr>
        <w:pStyle w:val="Default"/>
        <w:jc w:val="both"/>
        <w:rPr>
          <w:color w:val="auto"/>
          <w:sz w:val="22"/>
          <w:szCs w:val="22"/>
        </w:rPr>
      </w:pPr>
      <w:r>
        <w:rPr>
          <w:b/>
          <w:bCs/>
          <w:color w:val="auto"/>
          <w:sz w:val="22"/>
          <w:szCs w:val="22"/>
        </w:rPr>
        <w:t xml:space="preserve"> </w:t>
      </w:r>
    </w:p>
    <w:p w14:paraId="65B0229B" w14:textId="77777777" w:rsidR="008C4F3C" w:rsidRDefault="008C4F3C" w:rsidP="008C4F3C">
      <w:pPr>
        <w:pStyle w:val="Default"/>
        <w:jc w:val="both"/>
        <w:rPr>
          <w:sz w:val="22"/>
          <w:szCs w:val="22"/>
        </w:rPr>
      </w:pPr>
      <w:r>
        <w:rPr>
          <w:color w:val="auto"/>
          <w:sz w:val="22"/>
          <w:szCs w:val="22"/>
        </w:rPr>
        <w:t xml:space="preserve">Under 24 CFR 42.375(d), </w:t>
      </w:r>
      <w:r w:rsidR="00A83755">
        <w:rPr>
          <w:sz w:val="22"/>
          <w:szCs w:val="22"/>
        </w:rPr>
        <w:t>[GRANTEE CITY, TOWN OR, COUNTY]</w:t>
      </w:r>
      <w:r>
        <w:rPr>
          <w:color w:val="auto"/>
          <w:sz w:val="22"/>
          <w:szCs w:val="22"/>
        </w:rPr>
        <w:t xml:space="preserve"> may submit a request to </w:t>
      </w:r>
      <w:r w:rsidR="00A979D2">
        <w:rPr>
          <w:color w:val="auto"/>
          <w:sz w:val="22"/>
          <w:szCs w:val="22"/>
        </w:rPr>
        <w:t>MDOC</w:t>
      </w:r>
      <w:r>
        <w:rPr>
          <w:color w:val="auto"/>
          <w:sz w:val="22"/>
          <w:szCs w:val="22"/>
        </w:rPr>
        <w:t xml:space="preserve"> (if the project is funded through the State) for a determination that the one-for-one replacement requirement does not apply based on objective data that there is an adequate supply of vacant lower-income dwelling units in standard condition available on a non-discriminatory basis within the area. </w:t>
      </w:r>
      <w:r w:rsidR="00A979D2">
        <w:rPr>
          <w:color w:val="auto"/>
          <w:sz w:val="22"/>
          <w:szCs w:val="22"/>
        </w:rPr>
        <w:t>MDOC</w:t>
      </w:r>
      <w:r>
        <w:rPr>
          <w:color w:val="auto"/>
          <w:sz w:val="22"/>
          <w:szCs w:val="22"/>
        </w:rPr>
        <w:t>, upon receipt of such submission, will promptly put notice of the request on its website</w:t>
      </w:r>
      <w:r>
        <w:rPr>
          <w:color w:val="0000FF"/>
          <w:sz w:val="22"/>
          <w:szCs w:val="22"/>
        </w:rPr>
        <w:t xml:space="preserve"> </w:t>
      </w:r>
      <w:r>
        <w:rPr>
          <w:sz w:val="22"/>
          <w:szCs w:val="22"/>
        </w:rPr>
        <w:t xml:space="preserve">and inform interested persons that they have 30 days from its posting to comment and provide additional information to </w:t>
      </w:r>
      <w:r w:rsidR="00A979D2">
        <w:rPr>
          <w:sz w:val="22"/>
          <w:szCs w:val="22"/>
        </w:rPr>
        <w:t>MDOC</w:t>
      </w:r>
      <w:r>
        <w:rPr>
          <w:sz w:val="22"/>
          <w:szCs w:val="22"/>
        </w:rPr>
        <w:t xml:space="preserve">. </w:t>
      </w:r>
    </w:p>
    <w:p w14:paraId="312C8155" w14:textId="77777777" w:rsidR="008C4F3C" w:rsidRDefault="008C4F3C" w:rsidP="008C4F3C">
      <w:pPr>
        <w:pStyle w:val="Default"/>
        <w:jc w:val="both"/>
        <w:rPr>
          <w:sz w:val="22"/>
          <w:szCs w:val="22"/>
        </w:rPr>
      </w:pPr>
    </w:p>
    <w:p w14:paraId="136A585F" w14:textId="77777777" w:rsidR="008C4F3C" w:rsidRDefault="008C4F3C" w:rsidP="008C4F3C">
      <w:pPr>
        <w:pStyle w:val="Default"/>
        <w:jc w:val="both"/>
        <w:rPr>
          <w:rFonts w:cs="Times New Roman"/>
          <w:b/>
          <w:bCs/>
          <w:color w:val="auto"/>
          <w:sz w:val="22"/>
          <w:szCs w:val="22"/>
        </w:rPr>
      </w:pPr>
      <w:r>
        <w:rPr>
          <w:rFonts w:cs="Times New Roman"/>
          <w:b/>
          <w:bCs/>
          <w:color w:val="auto"/>
          <w:sz w:val="22"/>
          <w:szCs w:val="22"/>
        </w:rPr>
        <w:t xml:space="preserve">Appeals </w:t>
      </w:r>
    </w:p>
    <w:p w14:paraId="71CCFAB8" w14:textId="77777777" w:rsidR="00A83755" w:rsidRDefault="00A83755" w:rsidP="008C4F3C">
      <w:pPr>
        <w:pStyle w:val="Default"/>
        <w:jc w:val="both"/>
        <w:rPr>
          <w:rFonts w:cs="Times New Roman"/>
          <w:color w:val="auto"/>
          <w:sz w:val="22"/>
          <w:szCs w:val="22"/>
        </w:rPr>
      </w:pPr>
    </w:p>
    <w:p w14:paraId="5FBB4640" w14:textId="77777777" w:rsidR="008C4F3C" w:rsidRDefault="008C4F3C" w:rsidP="008C4F3C">
      <w:pPr>
        <w:pStyle w:val="Default"/>
        <w:jc w:val="both"/>
        <w:rPr>
          <w:color w:val="auto"/>
          <w:sz w:val="22"/>
          <w:szCs w:val="22"/>
        </w:rPr>
      </w:pPr>
      <w:r>
        <w:rPr>
          <w:color w:val="auto"/>
          <w:sz w:val="22"/>
          <w:szCs w:val="22"/>
        </w:rPr>
        <w:t xml:space="preserve">Any displaced person who disagrees with </w:t>
      </w:r>
      <w:r w:rsidR="00A83755">
        <w:rPr>
          <w:sz w:val="22"/>
          <w:szCs w:val="22"/>
        </w:rPr>
        <w:t>[GRANTEE CITY, TOWN OR COUNTY]</w:t>
      </w:r>
      <w:r>
        <w:rPr>
          <w:color w:val="auto"/>
          <w:sz w:val="22"/>
          <w:szCs w:val="22"/>
        </w:rPr>
        <w:t xml:space="preserve">’s determination of eligibility for benefits or the amount of relocation assistance for which the person is eligible may file a written appeal to </w:t>
      </w:r>
      <w:r w:rsidR="00A83755">
        <w:rPr>
          <w:sz w:val="22"/>
          <w:szCs w:val="22"/>
        </w:rPr>
        <w:t>[GRANTEE CITY, TOWN, OR COUNTY]</w:t>
      </w:r>
      <w:r>
        <w:rPr>
          <w:color w:val="auto"/>
          <w:sz w:val="22"/>
          <w:szCs w:val="22"/>
        </w:rPr>
        <w:t xml:space="preserve">. Appeals may be directed to </w:t>
      </w:r>
      <w:r w:rsidR="00A83755">
        <w:rPr>
          <w:sz w:val="22"/>
          <w:szCs w:val="22"/>
        </w:rPr>
        <w:t>[GRANTEE CITY, TOWN, OR COUNTY],</w:t>
      </w:r>
      <w:r>
        <w:rPr>
          <w:color w:val="auto"/>
          <w:sz w:val="22"/>
          <w:szCs w:val="22"/>
        </w:rPr>
        <w:t xml:space="preserve"> </w:t>
      </w:r>
      <w:r w:rsidR="00A83755">
        <w:rPr>
          <w:color w:val="auto"/>
          <w:sz w:val="22"/>
          <w:szCs w:val="22"/>
        </w:rPr>
        <w:t>[MAILING ADDRESS] AND [PHONE NUMBER]</w:t>
      </w:r>
      <w:r>
        <w:rPr>
          <w:color w:val="auto"/>
          <w:sz w:val="22"/>
          <w:szCs w:val="22"/>
        </w:rPr>
        <w:t xml:space="preserve">. Further appeal, in writing, may be submitted to the </w:t>
      </w:r>
      <w:r w:rsidR="00A83755">
        <w:rPr>
          <w:color w:val="auto"/>
          <w:sz w:val="22"/>
          <w:szCs w:val="22"/>
        </w:rPr>
        <w:t>Montana Department of Commerce, Community Development Division, PO Box 200523, Helena, MT 59620-0523</w:t>
      </w:r>
      <w:r>
        <w:rPr>
          <w:color w:val="auto"/>
          <w:sz w:val="22"/>
          <w:szCs w:val="22"/>
        </w:rPr>
        <w:t xml:space="preserve">. </w:t>
      </w:r>
    </w:p>
    <w:p w14:paraId="2E82E42F" w14:textId="77777777" w:rsidR="008C4F3C" w:rsidRDefault="008C4F3C" w:rsidP="008C4F3C">
      <w:pPr>
        <w:pStyle w:val="Default"/>
        <w:jc w:val="both"/>
        <w:rPr>
          <w:b/>
          <w:bCs/>
          <w:color w:val="auto"/>
          <w:sz w:val="22"/>
          <w:szCs w:val="22"/>
        </w:rPr>
      </w:pPr>
    </w:p>
    <w:p w14:paraId="6E78BE3B" w14:textId="77777777" w:rsidR="00A83755" w:rsidRDefault="008C4F3C" w:rsidP="008C4F3C">
      <w:pPr>
        <w:pStyle w:val="Default"/>
        <w:jc w:val="both"/>
        <w:rPr>
          <w:b/>
          <w:bCs/>
          <w:color w:val="auto"/>
          <w:sz w:val="22"/>
          <w:szCs w:val="22"/>
        </w:rPr>
      </w:pPr>
      <w:r>
        <w:rPr>
          <w:b/>
          <w:bCs/>
          <w:color w:val="auto"/>
          <w:sz w:val="22"/>
          <w:szCs w:val="22"/>
        </w:rPr>
        <w:t>Contacts</w:t>
      </w:r>
    </w:p>
    <w:p w14:paraId="2926D180" w14:textId="77777777" w:rsidR="008C4F3C" w:rsidRDefault="008C4F3C" w:rsidP="008C4F3C">
      <w:pPr>
        <w:pStyle w:val="Default"/>
        <w:jc w:val="both"/>
        <w:rPr>
          <w:color w:val="auto"/>
          <w:sz w:val="22"/>
          <w:szCs w:val="22"/>
        </w:rPr>
      </w:pPr>
      <w:r>
        <w:rPr>
          <w:b/>
          <w:bCs/>
          <w:color w:val="auto"/>
          <w:sz w:val="22"/>
          <w:szCs w:val="22"/>
        </w:rPr>
        <w:t xml:space="preserve"> </w:t>
      </w:r>
    </w:p>
    <w:p w14:paraId="513FDCE9" w14:textId="37697714" w:rsidR="008C4F3C" w:rsidRDefault="00A83755" w:rsidP="008C4F3C">
      <w:pPr>
        <w:pStyle w:val="Default"/>
        <w:jc w:val="both"/>
        <w:rPr>
          <w:color w:val="auto"/>
          <w:sz w:val="22"/>
          <w:szCs w:val="22"/>
        </w:rPr>
      </w:pPr>
      <w:r>
        <w:rPr>
          <w:sz w:val="22"/>
          <w:szCs w:val="22"/>
        </w:rPr>
        <w:t>[GRANTEE CITY, TOWN</w:t>
      </w:r>
      <w:r w:rsidR="00AD1081">
        <w:rPr>
          <w:sz w:val="22"/>
          <w:szCs w:val="22"/>
        </w:rPr>
        <w:t>,</w:t>
      </w:r>
      <w:r>
        <w:rPr>
          <w:sz w:val="22"/>
          <w:szCs w:val="22"/>
        </w:rPr>
        <w:t xml:space="preserve"> OR COUNTY]</w:t>
      </w:r>
      <w:r w:rsidR="008C4F3C">
        <w:rPr>
          <w:color w:val="auto"/>
          <w:sz w:val="22"/>
          <w:szCs w:val="22"/>
        </w:rPr>
        <w:t xml:space="preserve"> is responsible for tracking the replacement of lower-income dwelling units and ensuring that they are provided within the required period. </w:t>
      </w:r>
      <w:r w:rsidR="008919C5">
        <w:rPr>
          <w:color w:val="auto"/>
          <w:sz w:val="22"/>
          <w:szCs w:val="22"/>
        </w:rPr>
        <w:t xml:space="preserve"> </w:t>
      </w:r>
      <w:bookmarkStart w:id="0" w:name="_GoBack"/>
      <w:bookmarkEnd w:id="0"/>
      <w:r w:rsidR="008919C5">
        <w:t xml:space="preserve">[GRANTEE CITY, TOWN, OR COUNTY] </w:t>
      </w:r>
      <w:r w:rsidR="008C4F3C">
        <w:rPr>
          <w:color w:val="auto"/>
          <w:sz w:val="22"/>
          <w:szCs w:val="22"/>
        </w:rPr>
        <w:t xml:space="preserve">monitors this tracking throughout the development process. </w:t>
      </w:r>
    </w:p>
    <w:p w14:paraId="1A0AC671" w14:textId="77777777" w:rsidR="00A83755" w:rsidRDefault="00A83755" w:rsidP="008C4F3C">
      <w:pPr>
        <w:pStyle w:val="Default"/>
        <w:jc w:val="both"/>
        <w:rPr>
          <w:color w:val="auto"/>
          <w:sz w:val="22"/>
          <w:szCs w:val="22"/>
        </w:rPr>
      </w:pPr>
    </w:p>
    <w:p w14:paraId="2A6B90D4" w14:textId="77777777" w:rsidR="00E22D3C" w:rsidRDefault="00A83755" w:rsidP="008C4F3C">
      <w:pPr>
        <w:jc w:val="both"/>
      </w:pPr>
      <w:r>
        <w:t>[GRANTEE CITY, TOWN</w:t>
      </w:r>
      <w:r w:rsidR="00AD1081">
        <w:t>,</w:t>
      </w:r>
      <w:r>
        <w:t xml:space="preserve"> OR COUNTY]</w:t>
      </w:r>
      <w:r w:rsidR="008C4F3C">
        <w:t xml:space="preserve"> is responsible for providing relocation payments and other relocation assistance to any lower-income person displaced by the demolition of any dwelling unit or the conversion of lower-income dwelling units to another use. </w:t>
      </w:r>
      <w:r>
        <w:t>[GRANTEE CITY, TOWN</w:t>
      </w:r>
      <w:r w:rsidR="00AD1081">
        <w:t>,</w:t>
      </w:r>
      <w:r>
        <w:t xml:space="preserve"> OR COUNTY]</w:t>
      </w:r>
      <w:r w:rsidR="008C4F3C">
        <w:t xml:space="preserve"> </w:t>
      </w:r>
      <w:r>
        <w:t xml:space="preserve">will </w:t>
      </w:r>
      <w:r w:rsidR="008C4F3C">
        <w:t>monitor the payment of relocation assistance throughout the development process.</w:t>
      </w:r>
    </w:p>
    <w:sectPr w:rsidR="00E22D3C" w:rsidSect="006C11B4">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44614"/>
    <w:multiLevelType w:val="hybridMultilevel"/>
    <w:tmpl w:val="66843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6750D8"/>
    <w:multiLevelType w:val="hybridMultilevel"/>
    <w:tmpl w:val="5AC47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CD7A47"/>
    <w:multiLevelType w:val="hybridMultilevel"/>
    <w:tmpl w:val="80605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C4F3C"/>
    <w:rsid w:val="00062B05"/>
    <w:rsid w:val="000E563C"/>
    <w:rsid w:val="00152098"/>
    <w:rsid w:val="003E730D"/>
    <w:rsid w:val="0049305D"/>
    <w:rsid w:val="006C11B4"/>
    <w:rsid w:val="00812491"/>
    <w:rsid w:val="00873F85"/>
    <w:rsid w:val="008919C5"/>
    <w:rsid w:val="008A7BE6"/>
    <w:rsid w:val="008C4F3C"/>
    <w:rsid w:val="00A00800"/>
    <w:rsid w:val="00A83755"/>
    <w:rsid w:val="00A979D2"/>
    <w:rsid w:val="00AD1081"/>
    <w:rsid w:val="00BB7629"/>
    <w:rsid w:val="00C35FE2"/>
    <w:rsid w:val="00D05EFD"/>
    <w:rsid w:val="00E22D3C"/>
    <w:rsid w:val="00FE5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F596F"/>
  <w15:chartTrackingRefBased/>
  <w15:docId w15:val="{0A187956-3981-44E4-B64A-33B1304B8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4F3C"/>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1493</Words>
  <Characters>8512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cc1352</dc:creator>
  <cp:keywords/>
  <cp:lastModifiedBy>Flynn, Julie</cp:lastModifiedBy>
  <cp:revision>6</cp:revision>
  <dcterms:created xsi:type="dcterms:W3CDTF">2017-01-04T16:08:00Z</dcterms:created>
  <dcterms:modified xsi:type="dcterms:W3CDTF">2018-10-03T18:13:00Z</dcterms:modified>
</cp:coreProperties>
</file>